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4E6DD5" w14:textId="77777777" w:rsidR="00D07708" w:rsidRDefault="00D07708" w:rsidP="00D07708">
      <w:pPr>
        <w:pStyle w:val="PreliminaryBookmarks"/>
      </w:pPr>
      <w:bookmarkStart w:id="0" w:name="_Hlk79429577"/>
      <w:bookmarkEnd w:id="0"/>
      <w:r>
        <w:t>Title Page</w:t>
      </w:r>
    </w:p>
    <w:p w14:paraId="51D87140" w14:textId="0098CEA2" w:rsidR="003C791E" w:rsidRPr="00BB500A" w:rsidRDefault="00A30FA7" w:rsidP="00B71F79">
      <w:pPr>
        <w:pStyle w:val="PrelminaryBold"/>
      </w:pPr>
      <w:r>
        <w:t xml:space="preserve">Exploring the Acute Effects of Glucocorticoids on Rabbit Vocal Fold Tissue </w:t>
      </w:r>
    </w:p>
    <w:p w14:paraId="777D7B3D" w14:textId="77777777" w:rsidR="000635D4" w:rsidRDefault="000635D4" w:rsidP="00486073">
      <w:pPr>
        <w:spacing w:line="240" w:lineRule="auto"/>
        <w:ind w:firstLine="0"/>
        <w:jc w:val="center"/>
      </w:pPr>
    </w:p>
    <w:p w14:paraId="23EDCEF2" w14:textId="77777777" w:rsidR="00932701" w:rsidRDefault="00932701" w:rsidP="00486073">
      <w:pPr>
        <w:spacing w:line="240" w:lineRule="auto"/>
        <w:ind w:firstLine="0"/>
        <w:jc w:val="center"/>
      </w:pPr>
    </w:p>
    <w:p w14:paraId="7528D016" w14:textId="77777777" w:rsidR="007A43BC" w:rsidRDefault="007A43BC" w:rsidP="00486073">
      <w:pPr>
        <w:spacing w:line="240" w:lineRule="auto"/>
        <w:ind w:firstLine="0"/>
        <w:jc w:val="center"/>
      </w:pPr>
    </w:p>
    <w:p w14:paraId="39C3C258" w14:textId="77777777" w:rsidR="007A43BC" w:rsidRDefault="007A43BC" w:rsidP="00486073">
      <w:pPr>
        <w:spacing w:line="240" w:lineRule="auto"/>
        <w:ind w:firstLine="0"/>
        <w:jc w:val="center"/>
      </w:pPr>
    </w:p>
    <w:p w14:paraId="2603889B" w14:textId="77777777" w:rsidR="00486073" w:rsidRDefault="00486073" w:rsidP="00486073">
      <w:pPr>
        <w:spacing w:line="240" w:lineRule="auto"/>
        <w:ind w:firstLine="0"/>
        <w:jc w:val="center"/>
      </w:pPr>
    </w:p>
    <w:p w14:paraId="709C6597" w14:textId="77777777" w:rsidR="00486073" w:rsidRDefault="00486073" w:rsidP="00486073">
      <w:pPr>
        <w:spacing w:line="240" w:lineRule="auto"/>
        <w:ind w:firstLine="0"/>
        <w:jc w:val="center"/>
      </w:pPr>
    </w:p>
    <w:p w14:paraId="3AF25667" w14:textId="77777777" w:rsidR="00486073" w:rsidRDefault="00486073" w:rsidP="00486073">
      <w:pPr>
        <w:spacing w:line="240" w:lineRule="auto"/>
        <w:ind w:firstLine="0"/>
        <w:jc w:val="center"/>
      </w:pPr>
    </w:p>
    <w:p w14:paraId="7DE993B1" w14:textId="77777777" w:rsidR="00486073" w:rsidRDefault="00486073" w:rsidP="00486073">
      <w:pPr>
        <w:spacing w:line="240" w:lineRule="auto"/>
        <w:ind w:firstLine="0"/>
        <w:jc w:val="center"/>
      </w:pPr>
    </w:p>
    <w:p w14:paraId="04D3EB2F" w14:textId="77777777" w:rsidR="003C791E" w:rsidRDefault="00486073" w:rsidP="00B71F79">
      <w:pPr>
        <w:pStyle w:val="PreliminaryNormal"/>
      </w:pPr>
      <w:r>
        <w:t>b</w:t>
      </w:r>
      <w:r w:rsidR="003C791E">
        <w:t>y</w:t>
      </w:r>
    </w:p>
    <w:p w14:paraId="50F2238B" w14:textId="77777777" w:rsidR="00486073" w:rsidRDefault="00486073" w:rsidP="00486073">
      <w:pPr>
        <w:spacing w:line="240" w:lineRule="auto"/>
        <w:ind w:firstLine="0"/>
        <w:jc w:val="center"/>
      </w:pPr>
    </w:p>
    <w:p w14:paraId="744A718C" w14:textId="40EBED84" w:rsidR="003C791E" w:rsidRDefault="009E7E40" w:rsidP="00B71F79">
      <w:pPr>
        <w:pStyle w:val="PrelminaryBold"/>
      </w:pPr>
      <w:r>
        <w:t>Gary Joseph Gartling</w:t>
      </w:r>
    </w:p>
    <w:p w14:paraId="66F2F0D5" w14:textId="77777777" w:rsidR="00486073" w:rsidRDefault="00486073" w:rsidP="00486073">
      <w:pPr>
        <w:spacing w:line="240" w:lineRule="auto"/>
        <w:ind w:firstLine="0"/>
        <w:jc w:val="center"/>
        <w:rPr>
          <w:b/>
        </w:rPr>
      </w:pPr>
    </w:p>
    <w:p w14:paraId="110E07A7" w14:textId="6FACD0DF" w:rsidR="000635D4" w:rsidRDefault="00A30FA7" w:rsidP="00B71F79">
      <w:pPr>
        <w:pStyle w:val="PreliminaryNormal"/>
      </w:pPr>
      <w:r>
        <w:t xml:space="preserve">B.S. </w:t>
      </w:r>
      <w:r w:rsidRPr="00A30FA7">
        <w:t>Communication Sciences and Disorders</w:t>
      </w:r>
      <w:r w:rsidR="000635D4">
        <w:t xml:space="preserve">, </w:t>
      </w:r>
      <w:r>
        <w:t>James Madison University</w:t>
      </w:r>
      <w:r w:rsidR="000635D4">
        <w:t xml:space="preserve">, </w:t>
      </w:r>
      <w:r>
        <w:t>2015</w:t>
      </w:r>
    </w:p>
    <w:p w14:paraId="62485733" w14:textId="77777777" w:rsidR="00486073" w:rsidRDefault="00486073" w:rsidP="00B71F79">
      <w:pPr>
        <w:pStyle w:val="PreliminaryNormal"/>
      </w:pPr>
    </w:p>
    <w:p w14:paraId="0C462EF3" w14:textId="3B7EDD0B" w:rsidR="000635D4" w:rsidRDefault="00A30FA7" w:rsidP="00B71F79">
      <w:pPr>
        <w:pStyle w:val="PreliminaryNormal"/>
      </w:pPr>
      <w:r>
        <w:t>M.S.</w:t>
      </w:r>
      <w:r w:rsidR="000635D4">
        <w:t xml:space="preserve"> </w:t>
      </w:r>
      <w:r w:rsidRPr="00A30FA7">
        <w:t>Communication Sciences and Disorders</w:t>
      </w:r>
      <w:r w:rsidR="000635D4">
        <w:t xml:space="preserve">, </w:t>
      </w:r>
      <w:r>
        <w:t>Bloomsburg University of Pennsylvania, 2017</w:t>
      </w:r>
    </w:p>
    <w:p w14:paraId="7B83D792" w14:textId="77777777" w:rsidR="000635D4" w:rsidRDefault="000635D4" w:rsidP="00B71F79">
      <w:pPr>
        <w:pStyle w:val="PreliminaryNormal"/>
        <w:rPr>
          <w:b/>
        </w:rPr>
      </w:pPr>
    </w:p>
    <w:p w14:paraId="0BF1FE31" w14:textId="2AB29CE2" w:rsidR="000635D4" w:rsidRPr="007A16D0" w:rsidRDefault="000635D4" w:rsidP="007A16D0">
      <w:pPr>
        <w:spacing w:line="240" w:lineRule="auto"/>
        <w:ind w:firstLine="0"/>
        <w:rPr>
          <w:bCs/>
        </w:rPr>
      </w:pPr>
    </w:p>
    <w:p w14:paraId="5DB164E8" w14:textId="77777777" w:rsidR="000635D4" w:rsidRDefault="000635D4" w:rsidP="00486073">
      <w:pPr>
        <w:spacing w:line="240" w:lineRule="auto"/>
        <w:ind w:firstLine="0"/>
        <w:jc w:val="center"/>
        <w:rPr>
          <w:b/>
        </w:rPr>
      </w:pPr>
    </w:p>
    <w:p w14:paraId="79790094" w14:textId="77777777" w:rsidR="00486073" w:rsidRDefault="00486073" w:rsidP="00486073">
      <w:pPr>
        <w:spacing w:line="240" w:lineRule="auto"/>
        <w:ind w:firstLine="0"/>
        <w:jc w:val="center"/>
        <w:rPr>
          <w:b/>
        </w:rPr>
      </w:pPr>
    </w:p>
    <w:p w14:paraId="321827FA" w14:textId="77777777" w:rsidR="00486073" w:rsidRDefault="00486073" w:rsidP="00486073">
      <w:pPr>
        <w:spacing w:line="240" w:lineRule="auto"/>
        <w:ind w:firstLine="0"/>
        <w:jc w:val="center"/>
        <w:rPr>
          <w:b/>
        </w:rPr>
      </w:pPr>
    </w:p>
    <w:p w14:paraId="63C25F2F" w14:textId="77777777" w:rsidR="00486073" w:rsidRDefault="00486073" w:rsidP="00486073">
      <w:pPr>
        <w:spacing w:line="240" w:lineRule="auto"/>
        <w:ind w:firstLine="0"/>
        <w:jc w:val="center"/>
        <w:rPr>
          <w:b/>
        </w:rPr>
      </w:pPr>
    </w:p>
    <w:p w14:paraId="32CA8536" w14:textId="77777777" w:rsidR="00486073" w:rsidRDefault="00486073" w:rsidP="00486073">
      <w:pPr>
        <w:spacing w:line="240" w:lineRule="auto"/>
        <w:ind w:firstLine="0"/>
        <w:jc w:val="center"/>
        <w:rPr>
          <w:b/>
        </w:rPr>
      </w:pPr>
    </w:p>
    <w:p w14:paraId="1E653B1E" w14:textId="77777777" w:rsidR="00486073" w:rsidRDefault="00486073" w:rsidP="00486073">
      <w:pPr>
        <w:spacing w:line="240" w:lineRule="auto"/>
        <w:ind w:firstLine="0"/>
        <w:jc w:val="center"/>
        <w:rPr>
          <w:b/>
        </w:rPr>
      </w:pPr>
    </w:p>
    <w:p w14:paraId="2C99A0DA" w14:textId="77777777" w:rsidR="00486073" w:rsidRDefault="00486073" w:rsidP="00486073">
      <w:pPr>
        <w:spacing w:line="240" w:lineRule="auto"/>
        <w:ind w:firstLine="0"/>
        <w:jc w:val="center"/>
        <w:rPr>
          <w:b/>
        </w:rPr>
      </w:pPr>
    </w:p>
    <w:p w14:paraId="1CBC9274" w14:textId="77777777" w:rsidR="000635D4" w:rsidRDefault="000635D4" w:rsidP="00B71F79">
      <w:pPr>
        <w:pStyle w:val="PreliminaryNormal"/>
      </w:pPr>
      <w:r>
        <w:t>Submitted to the Graduate Faculty of</w:t>
      </w:r>
      <w:r w:rsidR="00BD6DBD">
        <w:t xml:space="preserve"> the</w:t>
      </w:r>
    </w:p>
    <w:p w14:paraId="094B3C05" w14:textId="77777777" w:rsidR="00486073" w:rsidRDefault="00486073" w:rsidP="00B71F79">
      <w:pPr>
        <w:pStyle w:val="PreliminaryNormal"/>
      </w:pPr>
    </w:p>
    <w:p w14:paraId="264A310F" w14:textId="3AE1C694" w:rsidR="00486073" w:rsidRPr="006C1BDE" w:rsidRDefault="003729D1" w:rsidP="00B71F79">
      <w:pPr>
        <w:pStyle w:val="PreliminaryNormal"/>
        <w:rPr>
          <w:caps/>
        </w:rPr>
      </w:pPr>
      <w:sdt>
        <w:sdtPr>
          <w:alias w:val="Name of School"/>
          <w:tag w:val="Name of School"/>
          <w:id w:val="-416254076"/>
          <w:placeholder>
            <w:docPart w:val="29EEBD3DE63F4890883B3EE68168BBD7"/>
          </w:placeholder>
          <w:dropDownList>
            <w:listItem w:displayText="College of Business Administration" w:value="College of Business Administration"/>
            <w:listItem w:displayText="Dietrich School of Arts and Sciences" w:value="Dietrich School of Arts and Sciences"/>
            <w:listItem w:displayText="Graduate School of Public Health" w:value="Graduate School of Public Health"/>
            <w:listItem w:displayText="Graduate School of Public and International Affairs" w:value="Graduate School of Public and International Affairs"/>
            <w:listItem w:displayText="Joseph M. Katz Graduate School of Business" w:value="Joseph M. Katz Graduate School of Business"/>
            <w:listItem w:displayText="School of Computing and Information" w:value="School of Computing and Information"/>
            <w:listItem w:displayText="School of Dental Medicine" w:value="School of Dental Medicine"/>
            <w:listItem w:displayText="School of Education" w:value="School of Education"/>
            <w:listItem w:displayText="School of Health and Rehabilitation Sciences" w:value="School of Health and Rehabilitation Sciences"/>
            <w:listItem w:displayText="School of Law" w:value="School of Law"/>
            <w:listItem w:displayText="School of Medicine" w:value="School of Medicine"/>
            <w:listItem w:displayText="School of Nursing" w:value="School of Nursing"/>
            <w:listItem w:displayText="School of Pharmacy" w:value="School of Pharmacy"/>
            <w:listItem w:displayText="School of Social Work" w:value="School of Social Work"/>
            <w:listItem w:displayText="Swanson School of Engineering" w:value="Swanson School of Engineering"/>
            <w:listItem w:displayText="University Honors College" w:value="University Honors College"/>
          </w:dropDownList>
        </w:sdtPr>
        <w:sdtEndPr/>
        <w:sdtContent>
          <w:r w:rsidR="00A30FA7">
            <w:t>School of Health and Rehabilitation Sciences</w:t>
          </w:r>
        </w:sdtContent>
      </w:sdt>
      <w:r w:rsidR="006C1BDE">
        <w:t xml:space="preserve"> i</w:t>
      </w:r>
      <w:r w:rsidR="000635D4">
        <w:t>n partial fulfillment</w:t>
      </w:r>
    </w:p>
    <w:p w14:paraId="0748CA7E" w14:textId="77777777" w:rsidR="000635D4" w:rsidRDefault="000635D4" w:rsidP="00B71F79">
      <w:pPr>
        <w:pStyle w:val="PreliminaryNormal"/>
      </w:pPr>
      <w:r>
        <w:t xml:space="preserve"> </w:t>
      </w:r>
    </w:p>
    <w:p w14:paraId="0E8D068A" w14:textId="77777777" w:rsidR="000635D4" w:rsidRDefault="000635D4" w:rsidP="00B71F79">
      <w:pPr>
        <w:pStyle w:val="PreliminaryNormal"/>
      </w:pPr>
      <w:r>
        <w:t>of the requirements for the degree of</w:t>
      </w:r>
    </w:p>
    <w:p w14:paraId="5340898A" w14:textId="77777777" w:rsidR="00486073" w:rsidRDefault="00486073" w:rsidP="00B71F79">
      <w:pPr>
        <w:pStyle w:val="PreliminaryNormal"/>
      </w:pPr>
    </w:p>
    <w:sdt>
      <w:sdtPr>
        <w:alias w:val="Degree"/>
        <w:tag w:val="Degree"/>
        <w:id w:val="1063456363"/>
        <w:placeholder>
          <w:docPart w:val="22474A548E9B4941ADDCBA130F3A960F"/>
        </w:placeholder>
        <w:dropDownList>
          <w:listItem w:displayText="Doctor of Dental Medicine" w:value="Doctor of Dental Medicine"/>
          <w:listItem w:displayText="Doctor of Education" w:value="Doctor of Education"/>
          <w:listItem w:displayText="Doctor of Juridical Science" w:value="Doctor of Juridical Science"/>
          <w:listItem w:displayText="Doctor of Medicine" w:value="Doctor of Medicine"/>
          <w:listItem w:displayText="Doctor of Pharmacy" w:value="Doctor of Pharmacy"/>
          <w:listItem w:displayText="Doctor of Philosophy" w:value="Doctor of Philosophy"/>
          <w:listItem w:displayText="Doctor of Psychology" w:value="Doctor of Psychology"/>
          <w:listItem w:displayText="Doctor of Public Health" w:value="Doctor of Public Health"/>
          <w:listItem w:displayText="Master of Arts" w:value="Master of Arts"/>
          <w:listItem w:displayText="Master of Arts in Teaching" w:value="Master of Arts in Teaching"/>
          <w:listItem w:displayText="Master of Business Administration" w:value="Master of Business Administration"/>
          <w:listItem w:displayText="Master of Dental Science" w:value="Master of Dental Science"/>
          <w:listItem w:displayText="Master of Education" w:value="Master of Education"/>
          <w:listItem w:displayText="Master of Fine Arts" w:value="Master of Fine Arts"/>
          <w:listItem w:displayText="Master of Health Administration" w:value="Master of Health Administration"/>
          <w:listItem w:displayText="Master of Health Promotion and Education" w:value="Master of Health Promotion and Education"/>
          <w:listItem w:displayText="Master of International Business" w:value="Master of International Business"/>
          <w:listItem w:displayText="Master of International Development" w:value="Master of International Development"/>
          <w:listItem w:displayText="Master of Library and Information Science" w:value="Master of Library and Information Science"/>
          <w:listItem w:displayText="Master of Occupational Therapy" w:value="Master of Occupational Therapy"/>
          <w:listItem w:displayText="Master of Physical Therapy" w:value="Master of Physical Therapy"/>
          <w:listItem w:displayText="Master of Public Administration" w:value="Master of Public Administration"/>
          <w:listItem w:displayText="Master of Public Health" w:value="Master of Public Health"/>
          <w:listItem w:displayText="Master of Public and International Affairs" w:value="Master of Public and International Affairs"/>
          <w:listItem w:displayText="Master of Public Policy and Management" w:value="Master of Public Policy and Management"/>
          <w:listItem w:displayText="Master of Science" w:value="Master of Science"/>
          <w:listItem w:displayText="Master of Science in Bioengineering" w:value="Master of Science in Bioengineering"/>
          <w:listItem w:displayText="Master of Science in Civil Engineering" w:value="Master of Science in Civil Engineering"/>
          <w:listItem w:displayText="Master of Science in Chemical Engineering" w:value="Master of Science in Chemical Engineering"/>
          <w:listItem w:displayText="Master of Science in Computer Engineering" w:value="Master of Science in Computer Engineering"/>
          <w:listItem w:displayText="Master of Science in Electrical Engineering" w:value="Master of Science in Electrical Engineering"/>
          <w:listItem w:displayText="Master of Science in Industrial Engineering" w:value="Master of Science in Industrial Engineering"/>
          <w:listItem w:displayText="Master of Science in Information Science" w:value="Master of Science in Information Science"/>
          <w:listItem w:displayText="Master of Studies in Law" w:value="Master of Studies in Law"/>
          <w:listItem w:displayText="Master of Science in Mechanical Engineering" w:value="Master of Science in Mechanical Engineering"/>
          <w:listItem w:displayText="Master of Science in Metallurgical Engineering" w:value="Master of Science in Metallurgical Engineering"/>
          <w:listItem w:displayText="Master of Science in Manufacturing Systems Engineering" w:value="Master of Science in Manufacturing Systems Engineering"/>
          <w:listItem w:displayText="Master of Science in Materials Science and Engineering" w:value="Master of Science in Materials Science and Engineering"/>
          <w:listItem w:displayText="Master of Science in Nursing" w:value="Master of Science in Nursing"/>
          <w:listItem w:displayText="Master of Science in Petroleum Engineering" w:value="Master of Science in Petroleum Engineering"/>
          <w:listItem w:displayText="Master of Science in Telecommunications" w:value="Master of Science in Telecommunications"/>
          <w:listItem w:displayText="Master of Social Work" w:value="Master of Social Work"/>
          <w:listItem w:displayText="Bachelor of Philosophy" w:value="Bachelor of Philosophy"/>
          <w:listItem w:displayText="Bachelor of Arts" w:value="Bachelor of Arts"/>
          <w:listItem w:displayText="Bachelor of Science" w:value="Bachelor of Science"/>
          <w:listItem w:displayText="Bachelor of Science in Business Administration" w:value="Bachelor of Science in Business Administration"/>
          <w:listItem w:displayText="Bachelor of Science in Engineering" w:value="Bachelor of Science in Engineering"/>
          <w:listItem w:displayText="Bachelor of Science in Nursing" w:value="Bachelor of Science in Nursing"/>
        </w:dropDownList>
      </w:sdtPr>
      <w:sdtEndPr>
        <w:rPr>
          <w:color w:val="A6A6A6" w:themeColor="background1" w:themeShade="A6"/>
        </w:rPr>
      </w:sdtEndPr>
      <w:sdtContent>
        <w:p w14:paraId="6DE94FD1" w14:textId="4E00F0FD" w:rsidR="000635D4" w:rsidRPr="00174952" w:rsidRDefault="00A30FA7" w:rsidP="00B71F79">
          <w:pPr>
            <w:pStyle w:val="PreliminaryNormal"/>
            <w:rPr>
              <w:color w:val="A6A6A6" w:themeColor="background1" w:themeShade="A6"/>
            </w:rPr>
          </w:pPr>
          <w:r>
            <w:t>Doctor of Philosophy</w:t>
          </w:r>
        </w:p>
      </w:sdtContent>
    </w:sdt>
    <w:p w14:paraId="2AA7F937" w14:textId="77777777" w:rsidR="000635D4" w:rsidRDefault="000635D4" w:rsidP="00486073">
      <w:pPr>
        <w:tabs>
          <w:tab w:val="left" w:pos="3600"/>
        </w:tabs>
        <w:spacing w:line="240" w:lineRule="auto"/>
        <w:ind w:firstLine="0"/>
        <w:jc w:val="center"/>
      </w:pPr>
    </w:p>
    <w:p w14:paraId="0910893A" w14:textId="77777777" w:rsidR="00486073" w:rsidRDefault="00486073" w:rsidP="00486073">
      <w:pPr>
        <w:tabs>
          <w:tab w:val="left" w:pos="3600"/>
        </w:tabs>
        <w:spacing w:line="240" w:lineRule="auto"/>
        <w:ind w:firstLine="0"/>
        <w:jc w:val="center"/>
      </w:pPr>
    </w:p>
    <w:p w14:paraId="5A6D2C2B" w14:textId="77777777" w:rsidR="00486073" w:rsidRDefault="00486073" w:rsidP="00486073">
      <w:pPr>
        <w:tabs>
          <w:tab w:val="left" w:pos="3600"/>
        </w:tabs>
        <w:spacing w:line="240" w:lineRule="auto"/>
        <w:ind w:firstLine="0"/>
        <w:jc w:val="center"/>
      </w:pPr>
    </w:p>
    <w:p w14:paraId="29444D02" w14:textId="77777777" w:rsidR="00486073" w:rsidRDefault="00486073" w:rsidP="00486073">
      <w:pPr>
        <w:tabs>
          <w:tab w:val="left" w:pos="3600"/>
        </w:tabs>
        <w:spacing w:line="240" w:lineRule="auto"/>
        <w:ind w:firstLine="0"/>
        <w:jc w:val="center"/>
      </w:pPr>
    </w:p>
    <w:p w14:paraId="3C4B01F8" w14:textId="77777777" w:rsidR="00486073" w:rsidRDefault="00486073" w:rsidP="00486073">
      <w:pPr>
        <w:tabs>
          <w:tab w:val="left" w:pos="3600"/>
        </w:tabs>
        <w:spacing w:line="240" w:lineRule="auto"/>
        <w:ind w:firstLine="0"/>
        <w:jc w:val="center"/>
      </w:pPr>
    </w:p>
    <w:p w14:paraId="2497626F" w14:textId="77777777" w:rsidR="00486073" w:rsidRDefault="00486073" w:rsidP="00486073">
      <w:pPr>
        <w:tabs>
          <w:tab w:val="left" w:pos="3600"/>
        </w:tabs>
        <w:spacing w:line="240" w:lineRule="auto"/>
        <w:ind w:firstLine="0"/>
        <w:jc w:val="center"/>
      </w:pPr>
    </w:p>
    <w:p w14:paraId="5EA7FFE8" w14:textId="77777777" w:rsidR="00486073" w:rsidRDefault="00486073" w:rsidP="00486073">
      <w:pPr>
        <w:tabs>
          <w:tab w:val="left" w:pos="3600"/>
        </w:tabs>
        <w:spacing w:line="240" w:lineRule="auto"/>
        <w:ind w:firstLine="0"/>
        <w:jc w:val="center"/>
      </w:pPr>
    </w:p>
    <w:p w14:paraId="6E116156" w14:textId="77777777" w:rsidR="00486073" w:rsidRDefault="00486073" w:rsidP="00486073">
      <w:pPr>
        <w:tabs>
          <w:tab w:val="left" w:pos="3600"/>
        </w:tabs>
        <w:spacing w:line="240" w:lineRule="auto"/>
        <w:ind w:firstLine="0"/>
        <w:jc w:val="center"/>
      </w:pPr>
    </w:p>
    <w:p w14:paraId="2BD01C53" w14:textId="77777777" w:rsidR="00486073" w:rsidRDefault="00486073" w:rsidP="00486073">
      <w:pPr>
        <w:tabs>
          <w:tab w:val="left" w:pos="3600"/>
        </w:tabs>
        <w:spacing w:line="240" w:lineRule="auto"/>
        <w:ind w:firstLine="0"/>
        <w:jc w:val="center"/>
      </w:pPr>
    </w:p>
    <w:p w14:paraId="69DB6E32" w14:textId="77777777" w:rsidR="00BB500A" w:rsidRDefault="000635D4" w:rsidP="00B71F79">
      <w:pPr>
        <w:pStyle w:val="PreliminaryNormal"/>
      </w:pPr>
      <w:r w:rsidRPr="00AB08F3">
        <w:t>University of Pittsburg</w:t>
      </w:r>
      <w:r>
        <w:t>h</w:t>
      </w:r>
    </w:p>
    <w:p w14:paraId="221F7066" w14:textId="77777777" w:rsidR="00486073" w:rsidRDefault="00486073" w:rsidP="00B71F79">
      <w:pPr>
        <w:pStyle w:val="PreliminaryNormal"/>
      </w:pPr>
    </w:p>
    <w:p w14:paraId="2B27B2AD" w14:textId="4D93DDD8" w:rsidR="007D627D" w:rsidRDefault="00A30FA7" w:rsidP="00B71F79">
      <w:pPr>
        <w:pStyle w:val="PreliminaryNormal"/>
      </w:pPr>
      <w:r>
        <w:t>2021</w:t>
      </w:r>
      <w:r w:rsidR="007D627D">
        <w:br w:type="page"/>
      </w:r>
    </w:p>
    <w:p w14:paraId="2CFE647A" w14:textId="77777777" w:rsidR="00BB500A" w:rsidRDefault="00BB500A" w:rsidP="00B71F79">
      <w:pPr>
        <w:pStyle w:val="PreliminaryNormal"/>
        <w:sectPr w:rsidR="00BB500A" w:rsidSect="00367476">
          <w:footerReference w:type="default" r:id="rId11"/>
          <w:headerReference w:type="first" r:id="rId12"/>
          <w:footerReference w:type="first" r:id="rId13"/>
          <w:pgSz w:w="12240" w:h="15840"/>
          <w:pgMar w:top="1440" w:right="1440" w:bottom="1440" w:left="1440" w:header="720" w:footer="720" w:gutter="0"/>
          <w:pgNumType w:fmt="lowerRoman" w:start="1"/>
          <w:cols w:space="720"/>
          <w:titlePg/>
          <w:docGrid w:linePitch="360"/>
        </w:sectPr>
      </w:pPr>
    </w:p>
    <w:p w14:paraId="366156B1" w14:textId="77777777" w:rsidR="000635D4" w:rsidRDefault="00D07708" w:rsidP="00302452">
      <w:pPr>
        <w:pStyle w:val="PreliminaryBookmarks"/>
      </w:pPr>
      <w:r w:rsidRPr="00302452">
        <w:lastRenderedPageBreak/>
        <w:t xml:space="preserve">Committee </w:t>
      </w:r>
      <w:r w:rsidR="007D627D">
        <w:t xml:space="preserve">Membership </w:t>
      </w:r>
      <w:r w:rsidRPr="00302452">
        <w:t>Page</w:t>
      </w:r>
    </w:p>
    <w:p w14:paraId="06A7DDFE" w14:textId="7FF9CB2C" w:rsidR="007A43BC" w:rsidRDefault="00302452" w:rsidP="00634E5C">
      <w:pPr>
        <w:pStyle w:val="PreliminaryCaps"/>
      </w:pPr>
      <w:r>
        <w:t>UNIVERSITY OF PITTSBURGH</w:t>
      </w:r>
    </w:p>
    <w:bookmarkStart w:id="1" w:name="_Hlk20985054" w:displacedByCustomXml="next"/>
    <w:sdt>
      <w:sdtPr>
        <w:rPr>
          <w:rStyle w:val="TitleHeading"/>
        </w:rPr>
        <w:alias w:val="Name of School"/>
        <w:tag w:val="Name of School"/>
        <w:id w:val="833486643"/>
        <w:placeholder>
          <w:docPart w:val="B92A8B5951EB4EF19D00942F0A68AB5D"/>
        </w:placeholder>
        <w:dropDownList>
          <w:listItem w:displayText="College of Business Administration" w:value="College of Business Administration"/>
          <w:listItem w:displayText="Dietrich School of Arts and Sciences" w:value="Dietrich School of Arts and Sciences"/>
          <w:listItem w:displayText="Graduate School of Public Health" w:value="Graduate School of Public Health"/>
          <w:listItem w:displayText="Graduate School of Public and International Affairs" w:value="Graduate School of Public and International Affairs"/>
          <w:listItem w:displayText="Joseph M. Katz Graduate School of Business" w:value="Joseph M. Katz Graduate School of Business"/>
          <w:listItem w:displayText="School of Computing and Information" w:value="School of Computing and Information"/>
          <w:listItem w:displayText="School of Dental Medicine" w:value="School of Dental Medicine"/>
          <w:listItem w:displayText="School of Education" w:value="School of Education"/>
          <w:listItem w:displayText="School of Health and Rehabilitation Sciences" w:value="School of Health and Rehabilitation Sciences"/>
          <w:listItem w:displayText="School of Law" w:value="School of Law"/>
          <w:listItem w:displayText="School of Medicine" w:value="School of Medicine"/>
          <w:listItem w:displayText="School of Nursing" w:value="School of Nursing"/>
          <w:listItem w:displayText="School of Pharmacy" w:value="School of Pharmacy"/>
          <w:listItem w:displayText="School of Social Work" w:value="School of Social Work"/>
          <w:listItem w:displayText="Swanson School of Engineering" w:value="Swanson School of Engineering"/>
          <w:listItem w:displayText="University Honors College" w:value="University Honors College"/>
        </w:dropDownList>
      </w:sdtPr>
      <w:sdtEndPr>
        <w:rPr>
          <w:rStyle w:val="DefaultParagraphFont"/>
          <w:caps w:val="0"/>
        </w:rPr>
      </w:sdtEndPr>
      <w:sdtContent>
        <w:p w14:paraId="70FBFD3D" w14:textId="26906B74" w:rsidR="008F60CE" w:rsidRDefault="00A30FA7" w:rsidP="00B71F79">
          <w:pPr>
            <w:pStyle w:val="PreliminaryNormal"/>
          </w:pPr>
          <w:r>
            <w:rPr>
              <w:rStyle w:val="TitleHeading"/>
            </w:rPr>
            <w:t>School of Health and Rehabilitation Sciences</w:t>
          </w:r>
        </w:p>
      </w:sdtContent>
    </w:sdt>
    <w:bookmarkEnd w:id="1" w:displacedByCustomXml="prev"/>
    <w:p w14:paraId="0E2EEE32" w14:textId="77777777" w:rsidR="008F60CE" w:rsidRDefault="008F60CE" w:rsidP="00B71F79">
      <w:pPr>
        <w:pStyle w:val="PreliminaryNormal"/>
      </w:pPr>
    </w:p>
    <w:p w14:paraId="3974B055" w14:textId="77777777" w:rsidR="008F60CE" w:rsidRDefault="008F60CE" w:rsidP="00B71F79">
      <w:pPr>
        <w:pStyle w:val="PreliminaryNormal"/>
      </w:pPr>
    </w:p>
    <w:p w14:paraId="4C9D813F" w14:textId="77777777" w:rsidR="00486073" w:rsidRDefault="00486073" w:rsidP="00B71F79">
      <w:pPr>
        <w:pStyle w:val="PreliminaryNormal"/>
      </w:pPr>
    </w:p>
    <w:p w14:paraId="51743BF5" w14:textId="77777777" w:rsidR="0046438E" w:rsidRDefault="0046438E" w:rsidP="00B71F79">
      <w:pPr>
        <w:pStyle w:val="PreliminaryNormal"/>
      </w:pPr>
    </w:p>
    <w:p w14:paraId="1E0A990D" w14:textId="7E77E980" w:rsidR="00486073" w:rsidRDefault="00486073" w:rsidP="006E1807">
      <w:pPr>
        <w:pStyle w:val="PreliminaryNormal"/>
        <w:jc w:val="both"/>
      </w:pPr>
    </w:p>
    <w:p w14:paraId="5945CE3B" w14:textId="77777777" w:rsidR="006E1807" w:rsidRDefault="006E1807" w:rsidP="006E1807">
      <w:pPr>
        <w:pStyle w:val="PreliminaryNormal"/>
        <w:jc w:val="both"/>
      </w:pPr>
    </w:p>
    <w:p w14:paraId="179E4ED5" w14:textId="77777777" w:rsidR="00486073" w:rsidRDefault="00486073" w:rsidP="00B71F79">
      <w:pPr>
        <w:pStyle w:val="PreliminaryNormal"/>
      </w:pPr>
    </w:p>
    <w:p w14:paraId="2F430351" w14:textId="3478FA7A" w:rsidR="008F60CE" w:rsidRDefault="008F60CE" w:rsidP="00B71F79">
      <w:pPr>
        <w:pStyle w:val="PreliminaryNormal"/>
      </w:pPr>
      <w:r>
        <w:t xml:space="preserve">This </w:t>
      </w:r>
      <w:r w:rsidR="00A30FA7">
        <w:t>d</w:t>
      </w:r>
      <w:r>
        <w:t>issertation was presented</w:t>
      </w:r>
    </w:p>
    <w:p w14:paraId="38E30E45" w14:textId="77777777" w:rsidR="00486073" w:rsidRDefault="00486073" w:rsidP="00B71F79">
      <w:pPr>
        <w:pStyle w:val="PreliminaryNormal"/>
      </w:pPr>
    </w:p>
    <w:p w14:paraId="79A750B8" w14:textId="77777777" w:rsidR="008F60CE" w:rsidRDefault="00486073" w:rsidP="00B71F79">
      <w:pPr>
        <w:pStyle w:val="PreliminaryNormal"/>
      </w:pPr>
      <w:r>
        <w:t>b</w:t>
      </w:r>
      <w:r w:rsidR="00086364">
        <w:t>y</w:t>
      </w:r>
    </w:p>
    <w:p w14:paraId="36A4B0C8" w14:textId="77777777" w:rsidR="00486073" w:rsidRDefault="00486073" w:rsidP="009366D2">
      <w:pPr>
        <w:spacing w:line="240" w:lineRule="auto"/>
        <w:ind w:firstLine="0"/>
      </w:pPr>
    </w:p>
    <w:p w14:paraId="671EC890" w14:textId="0FAE76C3" w:rsidR="00F24A51" w:rsidRDefault="00A30FA7" w:rsidP="00B71F79">
      <w:pPr>
        <w:pStyle w:val="PrelminaryBold"/>
      </w:pPr>
      <w:r>
        <w:t>Gary Joseph Gartling</w:t>
      </w:r>
    </w:p>
    <w:p w14:paraId="23012956" w14:textId="77777777" w:rsidR="00F24A51" w:rsidRDefault="00F24A51" w:rsidP="00486073">
      <w:pPr>
        <w:spacing w:line="240" w:lineRule="auto"/>
        <w:ind w:firstLine="0"/>
        <w:jc w:val="center"/>
      </w:pPr>
    </w:p>
    <w:p w14:paraId="7E9B86BB" w14:textId="77777777" w:rsidR="00486073" w:rsidRDefault="00486073" w:rsidP="00486073">
      <w:pPr>
        <w:spacing w:line="240" w:lineRule="auto"/>
        <w:ind w:firstLine="0"/>
        <w:jc w:val="center"/>
      </w:pPr>
    </w:p>
    <w:p w14:paraId="2F8CA082" w14:textId="77777777" w:rsidR="008F60CE" w:rsidRPr="00634E5C" w:rsidRDefault="008F60CE" w:rsidP="00634E5C">
      <w:pPr>
        <w:pStyle w:val="PreliminaryNormal"/>
      </w:pPr>
      <w:r w:rsidRPr="00634E5C">
        <w:t>It was defended on</w:t>
      </w:r>
    </w:p>
    <w:p w14:paraId="40F65658" w14:textId="77777777" w:rsidR="00486073" w:rsidRPr="00634E5C" w:rsidRDefault="00486073" w:rsidP="00634E5C">
      <w:pPr>
        <w:pStyle w:val="PreliminaryNormal"/>
      </w:pPr>
    </w:p>
    <w:sdt>
      <w:sdtPr>
        <w:id w:val="389072482"/>
        <w:placeholder>
          <w:docPart w:val="2AFD3F69A2D74A38B27BA67EDB722A77"/>
        </w:placeholder>
        <w:date w:fullDate="2021-10-13T00:00:00Z">
          <w:dateFormat w:val="MMMM d, yyyy"/>
          <w:lid w:val="en-US"/>
          <w:storeMappedDataAs w:val="dateTime"/>
          <w:calendar w:val="gregorian"/>
        </w:date>
      </w:sdtPr>
      <w:sdtEndPr/>
      <w:sdtContent>
        <w:p w14:paraId="455B53DF" w14:textId="5B2FBB84" w:rsidR="008F60CE" w:rsidRPr="00634E5C" w:rsidRDefault="00F812D6" w:rsidP="00634E5C">
          <w:pPr>
            <w:pStyle w:val="PreliminaryNormal"/>
          </w:pPr>
          <w:r w:rsidRPr="00634E5C">
            <w:t>October 13, 2021</w:t>
          </w:r>
        </w:p>
      </w:sdtContent>
    </w:sdt>
    <w:p w14:paraId="5BAD6D0C" w14:textId="77777777" w:rsidR="00486073" w:rsidRPr="00634E5C" w:rsidRDefault="00486073" w:rsidP="00634E5C">
      <w:pPr>
        <w:pStyle w:val="PreliminaryNormal"/>
      </w:pPr>
    </w:p>
    <w:p w14:paraId="273D59CD" w14:textId="77777777" w:rsidR="008F60CE" w:rsidRPr="00634E5C" w:rsidRDefault="00086364" w:rsidP="00634E5C">
      <w:pPr>
        <w:pStyle w:val="PreliminaryNormal"/>
      </w:pPr>
      <w:r w:rsidRPr="00634E5C">
        <w:t>a</w:t>
      </w:r>
      <w:r w:rsidR="008F60CE" w:rsidRPr="00634E5C">
        <w:t>nd approved by</w:t>
      </w:r>
    </w:p>
    <w:p w14:paraId="003136EE" w14:textId="77777777" w:rsidR="006E1807" w:rsidRDefault="006E1807" w:rsidP="006E1807">
      <w:pPr>
        <w:spacing w:line="240" w:lineRule="auto"/>
      </w:pPr>
    </w:p>
    <w:p w14:paraId="127C948F" w14:textId="66059BA7" w:rsidR="006E1807" w:rsidRDefault="006E1807" w:rsidP="00634E5C">
      <w:pPr>
        <w:pStyle w:val="PreliminaryNormal"/>
      </w:pPr>
      <w:r w:rsidRPr="006E1807">
        <w:t>Dr. Leah B. Helou, Ph.D., CCC-SLP; Assistant Professor, Department of Communication Science and Disorders, School of Health and Rehabilitation Sciences, University of Pittsburgh</w:t>
      </w:r>
    </w:p>
    <w:p w14:paraId="7254C30F" w14:textId="77777777" w:rsidR="006E1807" w:rsidRDefault="006E1807" w:rsidP="00634E5C">
      <w:pPr>
        <w:pStyle w:val="PreliminaryNormal"/>
      </w:pPr>
    </w:p>
    <w:p w14:paraId="019B8795" w14:textId="25FCA2B1" w:rsidR="00486073" w:rsidRDefault="006E1807" w:rsidP="00634E5C">
      <w:pPr>
        <w:pStyle w:val="PreliminaryNormal"/>
      </w:pPr>
      <w:r w:rsidRPr="006E1807">
        <w:t>Dr. James L. Coyle, Ph.D., CCC-SLP, BCS-S, F-ASHA; Professor, Department of Communication Science and Disorders and Otolaryngology, School of Health and Rehabilitation Sciences and School of Medicine, University of Pittsburgh</w:t>
      </w:r>
    </w:p>
    <w:p w14:paraId="67FA375E" w14:textId="77777777" w:rsidR="006E1807" w:rsidRDefault="006E1807" w:rsidP="00634E5C">
      <w:pPr>
        <w:pStyle w:val="PreliminaryNormal"/>
      </w:pPr>
    </w:p>
    <w:p w14:paraId="78F492E0" w14:textId="2B55267D" w:rsidR="00486073" w:rsidRDefault="006E1807" w:rsidP="00634E5C">
      <w:pPr>
        <w:pStyle w:val="PreliminaryNormal"/>
      </w:pPr>
      <w:r w:rsidRPr="006E1807">
        <w:t>Dr. Bradley C. Nindl, Ph.D., FACSM; Professor and Vice Chair for Research, Department of Sports Medicine and Nutrition; Director of Neuromuscular Research Laboratory/Warrior Human Performance Research Center, School of Health and Rehabilitation Sciences, University of Pittsburgh</w:t>
      </w:r>
    </w:p>
    <w:p w14:paraId="7CB258D5" w14:textId="77777777" w:rsidR="006E1807" w:rsidRDefault="006E1807" w:rsidP="00634E5C">
      <w:pPr>
        <w:pStyle w:val="PreliminaryNormal"/>
      </w:pPr>
    </w:p>
    <w:p w14:paraId="58B801DB" w14:textId="6106D1E5" w:rsidR="00486073" w:rsidRDefault="006E1807" w:rsidP="00634E5C">
      <w:pPr>
        <w:pStyle w:val="PreliminaryNormal"/>
      </w:pPr>
      <w:r w:rsidRPr="006E1807">
        <w:t>Dr. Ryan C. Branski, Ph.D., CCC-SLP, F-ASHA; Vice Chair for Research, Department of Rehabilitation Medicine; Howard A. Rusk Associate Professor of Rehabilitation Research; Associate Professor, Department of Otolaryngology-Head and Neck Surgery, New York University</w:t>
      </w:r>
    </w:p>
    <w:p w14:paraId="5DAF3B65" w14:textId="77777777" w:rsidR="006E1807" w:rsidRDefault="006E1807" w:rsidP="00634E5C">
      <w:pPr>
        <w:pStyle w:val="PreliminaryNormal"/>
      </w:pPr>
    </w:p>
    <w:p w14:paraId="262C161D" w14:textId="3F84FEBC" w:rsidR="008F60CE" w:rsidRPr="000635D4" w:rsidRDefault="008F60CE" w:rsidP="00634E5C">
      <w:pPr>
        <w:pStyle w:val="PreliminaryNormal"/>
      </w:pPr>
      <w:r>
        <w:t xml:space="preserve">Dissertation Director: </w:t>
      </w:r>
      <w:r w:rsidR="006E1807" w:rsidRPr="006E1807">
        <w:t>Dr. Bernard Rousseau, Ph.D., MMHC, CCC-SLP, F-ASHA; Associate Dean for Equity, Inclusion, and Community Engagement; Professor and Chair, Department of Communication Science and Disorders, School of Health and Rehabilitation Sciences, University of Pittsburgh</w:t>
      </w:r>
    </w:p>
    <w:p w14:paraId="04590B10" w14:textId="77777777" w:rsidR="0028782F" w:rsidRDefault="00834193" w:rsidP="00130B6B">
      <w:pPr>
        <w:ind w:left="720" w:hanging="720"/>
      </w:pPr>
      <w:r>
        <w:br w:type="page"/>
      </w:r>
    </w:p>
    <w:p w14:paraId="670A24F3" w14:textId="77777777" w:rsidR="004F0846" w:rsidRDefault="004F0846" w:rsidP="00486073">
      <w:pPr>
        <w:spacing w:line="240" w:lineRule="auto"/>
        <w:ind w:firstLine="0"/>
        <w:jc w:val="center"/>
      </w:pPr>
    </w:p>
    <w:p w14:paraId="0B386AB4" w14:textId="77777777" w:rsidR="004F0846" w:rsidRDefault="004F0846" w:rsidP="00486073">
      <w:pPr>
        <w:spacing w:line="240" w:lineRule="auto"/>
        <w:ind w:firstLine="0"/>
        <w:jc w:val="center"/>
      </w:pPr>
    </w:p>
    <w:p w14:paraId="0E622880" w14:textId="77777777" w:rsidR="004F0846" w:rsidRDefault="004F0846" w:rsidP="00486073">
      <w:pPr>
        <w:spacing w:line="240" w:lineRule="auto"/>
        <w:ind w:firstLine="0"/>
        <w:jc w:val="center"/>
      </w:pPr>
    </w:p>
    <w:p w14:paraId="66B87750" w14:textId="77777777" w:rsidR="004F0846" w:rsidRDefault="004F0846" w:rsidP="00486073">
      <w:pPr>
        <w:spacing w:line="240" w:lineRule="auto"/>
        <w:ind w:firstLine="0"/>
        <w:jc w:val="center"/>
      </w:pPr>
    </w:p>
    <w:p w14:paraId="4DC61679" w14:textId="77777777" w:rsidR="004F0846" w:rsidRDefault="004F0846" w:rsidP="00486073">
      <w:pPr>
        <w:spacing w:line="240" w:lineRule="auto"/>
        <w:ind w:firstLine="0"/>
        <w:jc w:val="center"/>
      </w:pPr>
    </w:p>
    <w:p w14:paraId="4358F4B3" w14:textId="77777777" w:rsidR="004F0846" w:rsidRDefault="004F0846" w:rsidP="00486073">
      <w:pPr>
        <w:spacing w:line="240" w:lineRule="auto"/>
        <w:ind w:firstLine="0"/>
        <w:jc w:val="center"/>
      </w:pPr>
    </w:p>
    <w:p w14:paraId="46B06193" w14:textId="77777777" w:rsidR="00486073" w:rsidRDefault="00486073" w:rsidP="00486073">
      <w:pPr>
        <w:spacing w:line="240" w:lineRule="auto"/>
        <w:ind w:firstLine="0"/>
        <w:jc w:val="center"/>
      </w:pPr>
    </w:p>
    <w:p w14:paraId="779C297A" w14:textId="77777777" w:rsidR="00486073" w:rsidRDefault="00486073" w:rsidP="00486073">
      <w:pPr>
        <w:spacing w:line="240" w:lineRule="auto"/>
        <w:ind w:firstLine="0"/>
        <w:jc w:val="center"/>
      </w:pPr>
    </w:p>
    <w:p w14:paraId="3CF02ECC" w14:textId="77777777" w:rsidR="00486073" w:rsidRDefault="00486073" w:rsidP="00486073">
      <w:pPr>
        <w:spacing w:line="240" w:lineRule="auto"/>
        <w:ind w:firstLine="0"/>
        <w:jc w:val="center"/>
      </w:pPr>
    </w:p>
    <w:p w14:paraId="65401D27" w14:textId="77777777" w:rsidR="00486073" w:rsidRDefault="00486073" w:rsidP="00486073">
      <w:pPr>
        <w:spacing w:line="240" w:lineRule="auto"/>
        <w:ind w:firstLine="0"/>
        <w:jc w:val="center"/>
      </w:pPr>
    </w:p>
    <w:p w14:paraId="67AB4139" w14:textId="77777777" w:rsidR="00486073" w:rsidRDefault="00486073" w:rsidP="00486073">
      <w:pPr>
        <w:spacing w:line="240" w:lineRule="auto"/>
        <w:ind w:firstLine="0"/>
        <w:jc w:val="center"/>
      </w:pPr>
    </w:p>
    <w:p w14:paraId="2FF222AA" w14:textId="77777777" w:rsidR="00486073" w:rsidRDefault="00486073" w:rsidP="00486073">
      <w:pPr>
        <w:spacing w:line="240" w:lineRule="auto"/>
        <w:ind w:firstLine="0"/>
        <w:jc w:val="center"/>
      </w:pPr>
    </w:p>
    <w:p w14:paraId="7728B05E" w14:textId="77777777" w:rsidR="00486073" w:rsidRDefault="00486073" w:rsidP="00486073">
      <w:pPr>
        <w:spacing w:line="240" w:lineRule="auto"/>
        <w:ind w:firstLine="0"/>
        <w:jc w:val="center"/>
      </w:pPr>
    </w:p>
    <w:p w14:paraId="6F02F377" w14:textId="77777777" w:rsidR="00486073" w:rsidRDefault="00486073" w:rsidP="00486073">
      <w:pPr>
        <w:spacing w:line="240" w:lineRule="auto"/>
        <w:ind w:firstLine="0"/>
        <w:jc w:val="center"/>
      </w:pPr>
    </w:p>
    <w:p w14:paraId="5F431D08" w14:textId="77777777" w:rsidR="00486073" w:rsidRDefault="00486073" w:rsidP="00486073">
      <w:pPr>
        <w:spacing w:line="240" w:lineRule="auto"/>
        <w:ind w:firstLine="0"/>
        <w:jc w:val="center"/>
      </w:pPr>
    </w:p>
    <w:p w14:paraId="2CBD9F0A" w14:textId="77777777" w:rsidR="00486073" w:rsidRDefault="00486073" w:rsidP="00486073">
      <w:pPr>
        <w:spacing w:line="240" w:lineRule="auto"/>
        <w:ind w:firstLine="0"/>
        <w:jc w:val="center"/>
      </w:pPr>
    </w:p>
    <w:p w14:paraId="018B0207" w14:textId="77777777" w:rsidR="00486073" w:rsidRDefault="00486073" w:rsidP="00486073">
      <w:pPr>
        <w:spacing w:line="240" w:lineRule="auto"/>
        <w:ind w:firstLine="0"/>
        <w:jc w:val="center"/>
      </w:pPr>
    </w:p>
    <w:p w14:paraId="4CD96D48" w14:textId="77777777" w:rsidR="004F0846" w:rsidRDefault="004F0846" w:rsidP="00486073">
      <w:pPr>
        <w:spacing w:line="240" w:lineRule="auto"/>
        <w:ind w:firstLine="0"/>
        <w:jc w:val="center"/>
      </w:pPr>
    </w:p>
    <w:p w14:paraId="4C423979" w14:textId="77777777" w:rsidR="004F0846" w:rsidRDefault="004F0846" w:rsidP="00486073">
      <w:pPr>
        <w:spacing w:line="240" w:lineRule="auto"/>
        <w:ind w:firstLine="0"/>
        <w:jc w:val="center"/>
      </w:pPr>
    </w:p>
    <w:p w14:paraId="23A3C5DA" w14:textId="77777777" w:rsidR="004F0846" w:rsidRDefault="004F0846" w:rsidP="00486073">
      <w:pPr>
        <w:spacing w:line="240" w:lineRule="auto"/>
        <w:ind w:firstLine="0"/>
        <w:jc w:val="center"/>
      </w:pPr>
    </w:p>
    <w:p w14:paraId="5CEA0F70" w14:textId="77777777" w:rsidR="004F0846" w:rsidRDefault="004F0846" w:rsidP="00486073">
      <w:pPr>
        <w:spacing w:line="240" w:lineRule="auto"/>
        <w:ind w:firstLine="0"/>
        <w:jc w:val="center"/>
      </w:pPr>
    </w:p>
    <w:p w14:paraId="1A5F3453" w14:textId="77777777" w:rsidR="004F0846" w:rsidRDefault="004F0846" w:rsidP="00486073">
      <w:pPr>
        <w:spacing w:line="240" w:lineRule="auto"/>
        <w:ind w:firstLine="0"/>
        <w:jc w:val="center"/>
      </w:pPr>
    </w:p>
    <w:p w14:paraId="51671890" w14:textId="6E2FF982" w:rsidR="004F0846" w:rsidRDefault="004F0846" w:rsidP="00B71F79">
      <w:pPr>
        <w:pStyle w:val="PreliminaryNormal"/>
      </w:pPr>
      <w:r>
        <w:t xml:space="preserve">Copyright © by </w:t>
      </w:r>
      <w:r w:rsidR="005F200C">
        <w:t xml:space="preserve">Gary </w:t>
      </w:r>
      <w:r w:rsidR="00A30FA7">
        <w:t xml:space="preserve">Joseph </w:t>
      </w:r>
      <w:r w:rsidR="005F200C">
        <w:t>Gartling</w:t>
      </w:r>
    </w:p>
    <w:p w14:paraId="7B261FEE" w14:textId="77777777" w:rsidR="00486073" w:rsidRDefault="00486073" w:rsidP="00B71F79">
      <w:pPr>
        <w:pStyle w:val="PreliminaryNormal"/>
      </w:pPr>
    </w:p>
    <w:p w14:paraId="00A3E294" w14:textId="647F33A0" w:rsidR="004F0846" w:rsidRDefault="00A30FA7" w:rsidP="00B71F79">
      <w:pPr>
        <w:pStyle w:val="PreliminaryNormal"/>
      </w:pPr>
      <w:r>
        <w:t>2021</w:t>
      </w:r>
    </w:p>
    <w:p w14:paraId="2A37F7A5" w14:textId="77777777" w:rsidR="004F0846" w:rsidRDefault="004F0846" w:rsidP="00B71F79">
      <w:pPr>
        <w:pStyle w:val="PreliminaryNormal"/>
      </w:pPr>
    </w:p>
    <w:p w14:paraId="40245168" w14:textId="77777777" w:rsidR="003452F9" w:rsidRDefault="003452F9" w:rsidP="00486073">
      <w:pPr>
        <w:spacing w:line="240" w:lineRule="auto"/>
        <w:ind w:left="720" w:hanging="720"/>
      </w:pPr>
      <w:r>
        <w:br w:type="page"/>
      </w:r>
    </w:p>
    <w:p w14:paraId="4C53C74E" w14:textId="77777777" w:rsidR="001C7AFC" w:rsidRDefault="001C7AFC" w:rsidP="0000139C">
      <w:pPr>
        <w:pStyle w:val="PreliminaryBookmarks"/>
      </w:pPr>
      <w:r>
        <w:t>Abstract</w:t>
      </w:r>
    </w:p>
    <w:p w14:paraId="4CACA46D" w14:textId="77777777" w:rsidR="00A30FA7" w:rsidRPr="00BB500A" w:rsidRDefault="00A30FA7" w:rsidP="00A30FA7">
      <w:pPr>
        <w:pStyle w:val="PrelminaryBold"/>
      </w:pPr>
      <w:r>
        <w:t xml:space="preserve">Exploring the Acute Effects of Glucocorticoids on Rabbit Vocal Fold Tissue </w:t>
      </w:r>
    </w:p>
    <w:p w14:paraId="55EFEAC1" w14:textId="77777777" w:rsidR="00486073" w:rsidRPr="002B41A8" w:rsidRDefault="00486073" w:rsidP="00486073">
      <w:pPr>
        <w:spacing w:line="240" w:lineRule="auto"/>
        <w:ind w:firstLine="0"/>
        <w:jc w:val="center"/>
        <w:rPr>
          <w:b/>
        </w:rPr>
      </w:pPr>
    </w:p>
    <w:p w14:paraId="700DD5F6" w14:textId="594B4BF5" w:rsidR="002B41A8" w:rsidRDefault="00A30FA7" w:rsidP="00B71F79">
      <w:pPr>
        <w:pStyle w:val="PreliminaryNormal"/>
      </w:pPr>
      <w:r>
        <w:t>Gary Joseph Gartling</w:t>
      </w:r>
      <w:r w:rsidR="002B41A8">
        <w:t xml:space="preserve">, </w:t>
      </w:r>
      <w:r w:rsidR="00F42497">
        <w:t>Ph.D.,</w:t>
      </w:r>
      <w:r>
        <w:t xml:space="preserve"> C</w:t>
      </w:r>
      <w:r w:rsidR="00F42497">
        <w:t>CC</w:t>
      </w:r>
      <w:r>
        <w:t>-SLP</w:t>
      </w:r>
    </w:p>
    <w:p w14:paraId="5DD63521" w14:textId="77777777" w:rsidR="00486073" w:rsidRDefault="00486073" w:rsidP="00B71F79">
      <w:pPr>
        <w:pStyle w:val="PreliminaryNormal"/>
      </w:pPr>
    </w:p>
    <w:p w14:paraId="7ACC71AD" w14:textId="46D7B089" w:rsidR="00486073" w:rsidRDefault="002B41A8" w:rsidP="0031691E">
      <w:pPr>
        <w:pStyle w:val="PreliminaryNormal"/>
      </w:pPr>
      <w:r>
        <w:t xml:space="preserve">University of Pittsburgh, </w:t>
      </w:r>
      <w:r w:rsidR="00A30FA7">
        <w:t>2021</w:t>
      </w:r>
    </w:p>
    <w:p w14:paraId="6722CB96" w14:textId="7412F51E" w:rsidR="006B3E70" w:rsidRDefault="006B3E70" w:rsidP="0031691E">
      <w:pPr>
        <w:pStyle w:val="PreliminaryNormal"/>
      </w:pPr>
    </w:p>
    <w:p w14:paraId="16526847" w14:textId="77777777" w:rsidR="00A30FA7" w:rsidRDefault="00A30FA7" w:rsidP="0031691E">
      <w:pPr>
        <w:pStyle w:val="PreliminaryNormal"/>
      </w:pPr>
    </w:p>
    <w:p w14:paraId="20467D40" w14:textId="77777777" w:rsidR="0031691E" w:rsidRDefault="0031691E" w:rsidP="0031691E">
      <w:pPr>
        <w:pStyle w:val="PreliminaryNormal"/>
        <w:jc w:val="both"/>
      </w:pPr>
    </w:p>
    <w:p w14:paraId="1031E333" w14:textId="77777777" w:rsidR="00486073" w:rsidRDefault="00486073" w:rsidP="00486073">
      <w:pPr>
        <w:spacing w:line="240" w:lineRule="auto"/>
        <w:ind w:firstLine="0"/>
        <w:jc w:val="center"/>
      </w:pPr>
    </w:p>
    <w:p w14:paraId="281540E3" w14:textId="3D564E72" w:rsidR="00537FF0" w:rsidRDefault="00537FF0" w:rsidP="00F3298B">
      <w:r w:rsidRPr="00FB62FA">
        <w:t xml:space="preserve">Glucocorticoids (GCs) are frequently used </w:t>
      </w:r>
      <w:r w:rsidR="00A27872">
        <w:t>to treat</w:t>
      </w:r>
      <w:r w:rsidRPr="00FB62FA">
        <w:t xml:space="preserve"> </w:t>
      </w:r>
      <w:r w:rsidR="0072006B">
        <w:t>vocal fold (</w:t>
      </w:r>
      <w:r w:rsidRPr="00FB62FA">
        <w:t>VF</w:t>
      </w:r>
      <w:r w:rsidR="0072006B">
        <w:t>)</w:t>
      </w:r>
      <w:r w:rsidRPr="00FB62FA">
        <w:t xml:space="preserve"> inflammation due to their potent anti-inflammatory effects.</w:t>
      </w:r>
      <w:r w:rsidR="0061005B">
        <w:t xml:space="preserve"> </w:t>
      </w:r>
      <w:r w:rsidRPr="00FB62FA">
        <w:rPr>
          <w:color w:val="000000" w:themeColor="text1"/>
        </w:rPr>
        <w:t>Glucocorticoids have varying pharmacodynamic properties</w:t>
      </w:r>
      <w:r w:rsidR="00A27872">
        <w:rPr>
          <w:color w:val="000000" w:themeColor="text1"/>
        </w:rPr>
        <w:t xml:space="preserve"> with </w:t>
      </w:r>
      <w:r w:rsidRPr="00FB62FA">
        <w:rPr>
          <w:color w:val="000000" w:themeColor="text1"/>
        </w:rPr>
        <w:t>effects ranging from reduced angiogenesis,</w:t>
      </w:r>
      <w:r w:rsidRPr="00FB62FA">
        <w:t xml:space="preserve"> changes in epithelial/endothelial barrier integrity, reduced therapeutic effect after long-term use, and </w:t>
      </w:r>
      <w:r w:rsidRPr="00FB62FA">
        <w:rPr>
          <w:color w:val="000000" w:themeColor="text1"/>
        </w:rPr>
        <w:t>skeletal muscle atrophy.</w:t>
      </w:r>
      <w:r w:rsidR="001668DE">
        <w:t xml:space="preserve"> </w:t>
      </w:r>
      <w:r w:rsidRPr="0043508C">
        <w:rPr>
          <w:color w:val="000000" w:themeColor="text1"/>
        </w:rPr>
        <w:t>Despite the known diversity of drug activity and associated negative effects, otolaryngologists typically rely on subjective clinical judgments when prescribing GCs, rather than objective evidence of differential efficacy.</w:t>
      </w:r>
      <w:r>
        <w:rPr>
          <w:color w:val="000000" w:themeColor="text1"/>
        </w:rPr>
        <w:t xml:space="preserve"> Elucidating</w:t>
      </w:r>
      <w:r w:rsidRPr="0043508C">
        <w:rPr>
          <w:color w:val="000000" w:themeColor="text1"/>
        </w:rPr>
        <w:t xml:space="preserve"> GC</w:t>
      </w:r>
      <w:r>
        <w:rPr>
          <w:color w:val="000000" w:themeColor="text1"/>
        </w:rPr>
        <w:t>-</w:t>
      </w:r>
      <w:r w:rsidRPr="0043508C">
        <w:rPr>
          <w:color w:val="000000" w:themeColor="text1"/>
        </w:rPr>
        <w:t>induced</w:t>
      </w:r>
      <w:r w:rsidR="00A27872">
        <w:rPr>
          <w:color w:val="000000" w:themeColor="text1"/>
        </w:rPr>
        <w:t xml:space="preserve"> VF</w:t>
      </w:r>
      <w:r w:rsidRPr="0043508C">
        <w:rPr>
          <w:color w:val="000000" w:themeColor="text1"/>
        </w:rPr>
        <w:t xml:space="preserve"> tissue changes </w:t>
      </w:r>
      <w:r>
        <w:rPr>
          <w:color w:val="000000" w:themeColor="text1"/>
        </w:rPr>
        <w:t>and delineating</w:t>
      </w:r>
      <w:r w:rsidRPr="0043508C">
        <w:rPr>
          <w:color w:val="000000" w:themeColor="text1"/>
        </w:rPr>
        <w:t xml:space="preserve"> effects between </w:t>
      </w:r>
      <w:r>
        <w:rPr>
          <w:color w:val="000000" w:themeColor="text1"/>
        </w:rPr>
        <w:t xml:space="preserve">GCs is necessary for </w:t>
      </w:r>
      <w:r w:rsidRPr="0043508C">
        <w:rPr>
          <w:color w:val="000000" w:themeColor="text1"/>
        </w:rPr>
        <w:t xml:space="preserve">physicians </w:t>
      </w:r>
      <w:r>
        <w:rPr>
          <w:color w:val="000000" w:themeColor="text1"/>
        </w:rPr>
        <w:t xml:space="preserve">to </w:t>
      </w:r>
      <w:r w:rsidRPr="0043508C">
        <w:rPr>
          <w:color w:val="000000" w:themeColor="text1"/>
        </w:rPr>
        <w:t>accurately modify drug selection for patient-specific needs</w:t>
      </w:r>
      <w:r w:rsidR="005D3E02">
        <w:rPr>
          <w:color w:val="000000" w:themeColor="text1"/>
        </w:rPr>
        <w:t xml:space="preserve">. To inform these knowledge gaps, </w:t>
      </w:r>
      <w:r w:rsidR="005D3E02" w:rsidRPr="009E51C1">
        <w:rPr>
          <w:i/>
          <w:iCs/>
          <w:color w:val="000000" w:themeColor="text1"/>
        </w:rPr>
        <w:t>in-vivo</w:t>
      </w:r>
      <w:r w:rsidR="005D3E02">
        <w:rPr>
          <w:color w:val="000000" w:themeColor="text1"/>
        </w:rPr>
        <w:t xml:space="preserve"> animal models are frequently used due to the ability</w:t>
      </w:r>
      <w:r w:rsidR="005D3E02" w:rsidRPr="009E51C1">
        <w:rPr>
          <w:color w:val="000000" w:themeColor="text1"/>
        </w:rPr>
        <w:t xml:space="preserve"> to study experimentally induced tissue changes that would be impossible to conduct in humans.</w:t>
      </w:r>
      <w:r w:rsidR="005D3E02" w:rsidRPr="009E51C1">
        <w:t xml:space="preserve"> </w:t>
      </w:r>
      <w:r w:rsidR="005D3E02">
        <w:t xml:space="preserve">However, knowledge of the existence and localization of key VF </w:t>
      </w:r>
      <w:r w:rsidR="00243DE1">
        <w:t>constituents</w:t>
      </w:r>
      <w:r w:rsidR="005D3E02">
        <w:t xml:space="preserve"> involved in the regulation of VF homeostasis</w:t>
      </w:r>
      <w:r w:rsidR="00A27872">
        <w:t xml:space="preserve"> in rabbits</w:t>
      </w:r>
      <w:r w:rsidR="0080251D">
        <w:t xml:space="preserve"> - </w:t>
      </w:r>
      <w:r w:rsidR="00A27872">
        <w:t xml:space="preserve">a commonly used model in this </w:t>
      </w:r>
      <w:r w:rsidR="0081281A">
        <w:t>field</w:t>
      </w:r>
      <w:r w:rsidR="0080251D">
        <w:t xml:space="preserve"> -</w:t>
      </w:r>
      <w:r w:rsidR="00A27872">
        <w:t xml:space="preserve"> </w:t>
      </w:r>
      <w:r w:rsidR="005D3E02">
        <w:t>has not yet been investigated</w:t>
      </w:r>
      <w:r w:rsidR="0080251D">
        <w:t>.</w:t>
      </w:r>
    </w:p>
    <w:p w14:paraId="733A00F3" w14:textId="2F808959" w:rsidR="00EA030A" w:rsidRDefault="00C318FF" w:rsidP="00EA030A">
      <w:pPr>
        <w:pBdr>
          <w:top w:val="nil"/>
          <w:left w:val="nil"/>
          <w:bottom w:val="nil"/>
          <w:right w:val="nil"/>
          <w:between w:val="nil"/>
        </w:pBdr>
        <w:ind w:left="2" w:right="-14" w:firstLine="718"/>
      </w:pPr>
      <w:r>
        <w:t>The purpose of this st</w:t>
      </w:r>
      <w:r w:rsidR="00A03F03">
        <w:t>u</w:t>
      </w:r>
      <w:r>
        <w:t>d</w:t>
      </w:r>
      <w:r w:rsidR="00A03F03">
        <w:t>y</w:t>
      </w:r>
      <w:r>
        <w:t xml:space="preserve"> was </w:t>
      </w:r>
      <w:r w:rsidR="00836821">
        <w:t>to</w:t>
      </w:r>
      <w:r w:rsidR="0067579B">
        <w:t xml:space="preserve">: </w:t>
      </w:r>
      <w:r w:rsidR="004D66B5">
        <w:t xml:space="preserve">1) </w:t>
      </w:r>
      <w:r w:rsidR="004D66B5" w:rsidRPr="00127E1B">
        <w:t xml:space="preserve">Compare the localization of integral membrane proteins </w:t>
      </w:r>
      <w:r w:rsidR="001E5CAB">
        <w:t>involved in</w:t>
      </w:r>
      <w:r w:rsidR="00BE6AE5">
        <w:t xml:space="preserve"> the regulation of</w:t>
      </w:r>
      <w:r w:rsidR="001E5CAB">
        <w:t xml:space="preserve"> VF tissue </w:t>
      </w:r>
      <w:r w:rsidR="0080251D">
        <w:t>homeostasis</w:t>
      </w:r>
      <w:r w:rsidR="001E5CAB">
        <w:t xml:space="preserve"> </w:t>
      </w:r>
      <w:r w:rsidR="00910014">
        <w:t xml:space="preserve">between </w:t>
      </w:r>
      <w:r w:rsidR="004D66B5" w:rsidRPr="00127E1B">
        <w:t>human and rabbit VF tissue</w:t>
      </w:r>
      <w:r w:rsidR="000B5BF8">
        <w:t xml:space="preserve">. </w:t>
      </w:r>
      <w:r w:rsidR="004D66B5">
        <w:t>2)</w:t>
      </w:r>
      <w:r w:rsidR="0067579B" w:rsidRPr="0067579B">
        <w:t xml:space="preserve"> </w:t>
      </w:r>
      <w:r w:rsidR="000B5BF8">
        <w:t>I</w:t>
      </w:r>
      <w:r w:rsidR="0067579B" w:rsidRPr="00127E1B">
        <w:t xml:space="preserve">nvestigate the acute effects of </w:t>
      </w:r>
      <w:r w:rsidR="0080251D" w:rsidRPr="00127E1B">
        <w:t xml:space="preserve">intramuscular injections </w:t>
      </w:r>
      <w:r w:rsidR="0080251D">
        <w:t xml:space="preserve">of </w:t>
      </w:r>
      <w:r w:rsidR="0067579B" w:rsidRPr="00127E1B">
        <w:t xml:space="preserve">dexamethasone and methylprednisolone </w:t>
      </w:r>
      <w:r w:rsidR="00910014">
        <w:t xml:space="preserve">on VF tight </w:t>
      </w:r>
      <w:r w:rsidR="00F15001">
        <w:t>junctions</w:t>
      </w:r>
      <w:r w:rsidR="00910014">
        <w:t xml:space="preserve">, </w:t>
      </w:r>
      <w:r w:rsidR="00F15001">
        <w:t>vascularity, therapeutic efficacy</w:t>
      </w:r>
      <w:r w:rsidR="00E110AA">
        <w:t xml:space="preserve">, and </w:t>
      </w:r>
      <w:r w:rsidR="0067579B" w:rsidRPr="00127E1B">
        <w:t xml:space="preserve">thyroarytenoid </w:t>
      </w:r>
      <w:r w:rsidR="0067579B">
        <w:t xml:space="preserve">(TA) </w:t>
      </w:r>
      <w:r w:rsidR="0067579B" w:rsidRPr="00127E1B">
        <w:t>muscle morphology in rabbit VFs</w:t>
      </w:r>
      <w:r w:rsidR="000B5BF8">
        <w:t>.</w:t>
      </w:r>
      <w:r w:rsidR="0067579B">
        <w:t xml:space="preserve"> 3)</w:t>
      </w:r>
      <w:r w:rsidR="00BE78DB">
        <w:t xml:space="preserve"> </w:t>
      </w:r>
      <w:r w:rsidR="000B5BF8">
        <w:t>I</w:t>
      </w:r>
      <w:r w:rsidR="00BE78DB" w:rsidRPr="00481CF8">
        <w:t>nvestigate the effects of a</w:t>
      </w:r>
      <w:r w:rsidR="00A86807">
        <w:t>n</w:t>
      </w:r>
      <w:r w:rsidR="00BE78DB" w:rsidRPr="00481CF8">
        <w:t xml:space="preserve"> intracordal injection of dexamethasone on atrophy</w:t>
      </w:r>
      <w:r w:rsidR="00BE78DB">
        <w:t>-</w:t>
      </w:r>
      <w:r w:rsidR="00BE78DB" w:rsidRPr="00481CF8">
        <w:t>associated gene expression</w:t>
      </w:r>
      <w:r w:rsidR="00EA030A">
        <w:t xml:space="preserve"> </w:t>
      </w:r>
      <w:r w:rsidR="00BE78DB" w:rsidRPr="00481CF8">
        <w:t xml:space="preserve">and </w:t>
      </w:r>
      <w:r w:rsidR="00BE78DB">
        <w:t>TA</w:t>
      </w:r>
      <w:r w:rsidR="00BE78DB" w:rsidRPr="00481CF8">
        <w:t xml:space="preserve"> muscle morphology in rabbit VFs</w:t>
      </w:r>
      <w:r w:rsidR="001E5EB9">
        <w:t>.</w:t>
      </w:r>
    </w:p>
    <w:p w14:paraId="7B4CF7AF" w14:textId="3B550E5A" w:rsidR="001668DE" w:rsidRDefault="008D1E25" w:rsidP="00EA030A">
      <w:pPr>
        <w:pBdr>
          <w:top w:val="nil"/>
          <w:left w:val="nil"/>
          <w:bottom w:val="nil"/>
          <w:right w:val="nil"/>
          <w:between w:val="nil"/>
        </w:pBdr>
        <w:ind w:left="3" w:right="-14" w:firstLine="718"/>
        <w:rPr>
          <w:color w:val="000000" w:themeColor="text1"/>
        </w:rPr>
      </w:pPr>
      <w:r>
        <w:t xml:space="preserve">The results of these experiments </w:t>
      </w:r>
      <w:r w:rsidR="00F54F7F">
        <w:t>revealed</w:t>
      </w:r>
      <w:r w:rsidR="000B5BF8">
        <w:t>:</w:t>
      </w:r>
      <w:r w:rsidR="00F54F7F">
        <w:t xml:space="preserve"> 1) </w:t>
      </w:r>
      <w:r w:rsidR="000B5BF8">
        <w:t>S</w:t>
      </w:r>
      <w:r w:rsidR="00F54F7F">
        <w:t xml:space="preserve">imilar </w:t>
      </w:r>
      <w:r w:rsidR="00F00697">
        <w:t xml:space="preserve">localization </w:t>
      </w:r>
      <w:r w:rsidR="00F54F7F" w:rsidRPr="000569CF">
        <w:t>of key ion transport channels and cell adhesion proteins</w:t>
      </w:r>
      <w:r w:rsidR="00F54F7F">
        <w:t xml:space="preserve"> </w:t>
      </w:r>
      <w:r w:rsidR="00F00697">
        <w:t xml:space="preserve">between </w:t>
      </w:r>
      <w:r>
        <w:t>rabbit and human</w:t>
      </w:r>
      <w:r w:rsidR="005565CD">
        <w:t xml:space="preserve"> VFs</w:t>
      </w:r>
      <w:r w:rsidR="000B5BF8">
        <w:t>.</w:t>
      </w:r>
      <w:r w:rsidR="00EA030A">
        <w:t xml:space="preserve"> </w:t>
      </w:r>
      <w:r w:rsidR="00F00697">
        <w:t>2)</w:t>
      </w:r>
      <w:r>
        <w:t xml:space="preserve"> </w:t>
      </w:r>
      <w:r w:rsidR="000B5BF8">
        <w:rPr>
          <w:color w:val="000000" w:themeColor="text1"/>
        </w:rPr>
        <w:t>I</w:t>
      </w:r>
      <w:r w:rsidR="00E15675" w:rsidRPr="00903076">
        <w:rPr>
          <w:color w:val="000000" w:themeColor="text1"/>
        </w:rPr>
        <w:t xml:space="preserve">ncreases </w:t>
      </w:r>
      <w:r w:rsidR="00E15675">
        <w:rPr>
          <w:color w:val="000000" w:themeColor="text1"/>
        </w:rPr>
        <w:t xml:space="preserve">in </w:t>
      </w:r>
      <w:r w:rsidR="00A178F2">
        <w:rPr>
          <w:color w:val="000000" w:themeColor="text1"/>
        </w:rPr>
        <w:t xml:space="preserve">VF </w:t>
      </w:r>
      <w:r w:rsidR="00E15675" w:rsidRPr="00903076">
        <w:rPr>
          <w:color w:val="000000" w:themeColor="text1"/>
        </w:rPr>
        <w:t>epithelial and endothelial tight junction expression</w:t>
      </w:r>
      <w:r w:rsidR="00E15675">
        <w:rPr>
          <w:color w:val="000000" w:themeColor="text1"/>
        </w:rPr>
        <w:t xml:space="preserve"> in rabbits treated with </w:t>
      </w:r>
      <w:r w:rsidR="005D4CD7">
        <w:rPr>
          <w:color w:val="000000" w:themeColor="text1"/>
        </w:rPr>
        <w:t>6-daily intramuscular injections of</w:t>
      </w:r>
      <w:r w:rsidR="00745F17">
        <w:rPr>
          <w:color w:val="000000" w:themeColor="text1"/>
        </w:rPr>
        <w:t xml:space="preserve"> </w:t>
      </w:r>
      <w:r w:rsidR="0081281A">
        <w:rPr>
          <w:color w:val="000000" w:themeColor="text1"/>
        </w:rPr>
        <w:t>d</w:t>
      </w:r>
      <w:r w:rsidR="005D4CD7">
        <w:rPr>
          <w:color w:val="000000" w:themeColor="text1"/>
        </w:rPr>
        <w:t xml:space="preserve">examethasone and decreases in global body mass in rabbits treated with </w:t>
      </w:r>
      <w:r w:rsidR="008E4736">
        <w:rPr>
          <w:color w:val="000000" w:themeColor="text1"/>
        </w:rPr>
        <w:t>methylprednisolone</w:t>
      </w:r>
      <w:r w:rsidR="00A178F2">
        <w:rPr>
          <w:color w:val="000000" w:themeColor="text1"/>
        </w:rPr>
        <w:t>.</w:t>
      </w:r>
      <w:r w:rsidR="008E4736">
        <w:rPr>
          <w:color w:val="000000" w:themeColor="text1"/>
        </w:rPr>
        <w:t xml:space="preserve"> 3) </w:t>
      </w:r>
      <w:r w:rsidR="00A178F2">
        <w:rPr>
          <w:color w:val="000000" w:themeColor="text1"/>
        </w:rPr>
        <w:t>N</w:t>
      </w:r>
      <w:r w:rsidR="008E4736">
        <w:rPr>
          <w:color w:val="000000" w:themeColor="text1"/>
        </w:rPr>
        <w:t>o</w:t>
      </w:r>
      <w:r w:rsidR="00EA030A" w:rsidRPr="00903076">
        <w:rPr>
          <w:color w:val="000000" w:themeColor="text1"/>
        </w:rPr>
        <w:t xml:space="preserve"> evidence of GC</w:t>
      </w:r>
      <w:r w:rsidR="00EA030A">
        <w:rPr>
          <w:color w:val="000000" w:themeColor="text1"/>
        </w:rPr>
        <w:t>-</w:t>
      </w:r>
      <w:r w:rsidR="00EA030A" w:rsidRPr="00903076">
        <w:rPr>
          <w:color w:val="000000" w:themeColor="text1"/>
        </w:rPr>
        <w:t>induced atrophy</w:t>
      </w:r>
      <w:r w:rsidR="00EA030A">
        <w:rPr>
          <w:color w:val="000000" w:themeColor="text1"/>
        </w:rPr>
        <w:t xml:space="preserve"> in the VFs of rabbits receiving an intracordal injection of dexamethason</w:t>
      </w:r>
      <w:r w:rsidR="0081281A">
        <w:rPr>
          <w:color w:val="000000" w:themeColor="text1"/>
        </w:rPr>
        <w:t>e</w:t>
      </w:r>
      <w:r w:rsidR="008E4736">
        <w:rPr>
          <w:color w:val="000000" w:themeColor="text1"/>
        </w:rPr>
        <w:t xml:space="preserve">. </w:t>
      </w:r>
      <w:r w:rsidR="00027ED0">
        <w:rPr>
          <w:color w:val="000000" w:themeColor="text1"/>
        </w:rPr>
        <w:t>These findings provide</w:t>
      </w:r>
      <w:r w:rsidR="00C845B2">
        <w:rPr>
          <w:color w:val="000000" w:themeColor="text1"/>
        </w:rPr>
        <w:t xml:space="preserve"> support for the use of rabbits as an experimental model</w:t>
      </w:r>
      <w:r w:rsidR="00604AD5">
        <w:rPr>
          <w:color w:val="000000" w:themeColor="text1"/>
        </w:rPr>
        <w:t xml:space="preserve"> </w:t>
      </w:r>
      <w:r w:rsidR="00A178F2">
        <w:rPr>
          <w:color w:val="000000" w:themeColor="text1"/>
        </w:rPr>
        <w:t xml:space="preserve">when studying </w:t>
      </w:r>
      <w:r w:rsidR="005910CC">
        <w:rPr>
          <w:color w:val="000000" w:themeColor="text1"/>
        </w:rPr>
        <w:t xml:space="preserve">key VF </w:t>
      </w:r>
      <w:r w:rsidR="00D541D3">
        <w:rPr>
          <w:color w:val="000000" w:themeColor="text1"/>
        </w:rPr>
        <w:t>constituents,</w:t>
      </w:r>
      <w:r w:rsidR="005910CC">
        <w:rPr>
          <w:color w:val="000000" w:themeColor="text1"/>
        </w:rPr>
        <w:t xml:space="preserve"> </w:t>
      </w:r>
      <w:r w:rsidR="00A27872">
        <w:rPr>
          <w:color w:val="000000" w:themeColor="text1"/>
        </w:rPr>
        <w:t>and</w:t>
      </w:r>
      <w:r w:rsidR="00C845B2">
        <w:rPr>
          <w:color w:val="000000" w:themeColor="text1"/>
        </w:rPr>
        <w:t xml:space="preserve"> </w:t>
      </w:r>
      <w:r w:rsidR="00604AD5">
        <w:rPr>
          <w:color w:val="000000" w:themeColor="text1"/>
        </w:rPr>
        <w:t xml:space="preserve">evidence of </w:t>
      </w:r>
      <w:r w:rsidR="00027ED0">
        <w:rPr>
          <w:color w:val="000000" w:themeColor="text1"/>
        </w:rPr>
        <w:t>di</w:t>
      </w:r>
      <w:r w:rsidR="00027ED0" w:rsidRPr="00903076">
        <w:rPr>
          <w:color w:val="000000" w:themeColor="text1"/>
        </w:rPr>
        <w:t>fferential effects of GCs at a systemic and VF level</w:t>
      </w:r>
      <w:r w:rsidR="001C74F9">
        <w:rPr>
          <w:color w:val="000000" w:themeColor="text1"/>
        </w:rPr>
        <w:t xml:space="preserve">. These findings </w:t>
      </w:r>
      <w:r w:rsidR="00604AD5">
        <w:rPr>
          <w:color w:val="000000" w:themeColor="text1"/>
        </w:rPr>
        <w:t>identif</w:t>
      </w:r>
      <w:r w:rsidR="001C74F9">
        <w:rPr>
          <w:color w:val="000000" w:themeColor="text1"/>
        </w:rPr>
        <w:t>y</w:t>
      </w:r>
      <w:r w:rsidR="00027ED0" w:rsidRPr="00ED0CF5">
        <w:rPr>
          <w:color w:val="000000" w:themeColor="text1"/>
        </w:rPr>
        <w:t xml:space="preserve"> an important role for tailored GC selection dependent on patient-specific needs when treating voice disorders</w:t>
      </w:r>
      <w:r w:rsidR="008146DA">
        <w:rPr>
          <w:color w:val="000000" w:themeColor="text1"/>
        </w:rPr>
        <w:t>.</w:t>
      </w:r>
    </w:p>
    <w:p w14:paraId="5DD0B637" w14:textId="2AEB45C8" w:rsidR="00A71F3C" w:rsidRDefault="00A71F3C" w:rsidP="00EA030A">
      <w:pPr>
        <w:pBdr>
          <w:top w:val="nil"/>
          <w:left w:val="nil"/>
          <w:bottom w:val="nil"/>
          <w:right w:val="nil"/>
          <w:between w:val="nil"/>
        </w:pBdr>
        <w:ind w:left="3" w:right="-14" w:firstLine="718"/>
        <w:rPr>
          <w:color w:val="000000" w:themeColor="text1"/>
        </w:rPr>
      </w:pPr>
    </w:p>
    <w:p w14:paraId="3972D1BD" w14:textId="77777777" w:rsidR="001668DE" w:rsidRDefault="001668DE" w:rsidP="00604AD5">
      <w:pPr>
        <w:pBdr>
          <w:top w:val="nil"/>
          <w:left w:val="nil"/>
          <w:bottom w:val="nil"/>
          <w:right w:val="nil"/>
          <w:between w:val="nil"/>
        </w:pBdr>
        <w:ind w:right="-14" w:firstLine="0"/>
      </w:pPr>
    </w:p>
    <w:p w14:paraId="38D8E30E" w14:textId="77777777" w:rsidR="001E5EB9" w:rsidRDefault="001E5EB9" w:rsidP="00537FF0">
      <w:pPr>
        <w:pBdr>
          <w:top w:val="nil"/>
          <w:left w:val="nil"/>
          <w:bottom w:val="nil"/>
          <w:right w:val="nil"/>
          <w:between w:val="nil"/>
        </w:pBdr>
        <w:ind w:right="-14"/>
      </w:pPr>
    </w:p>
    <w:p w14:paraId="6182112B" w14:textId="77777777" w:rsidR="001C7AFC" w:rsidRDefault="001C7AFC" w:rsidP="00486073">
      <w:pPr>
        <w:spacing w:line="240" w:lineRule="auto"/>
      </w:pPr>
      <w:r>
        <w:br w:type="page"/>
      </w:r>
    </w:p>
    <w:p w14:paraId="55D98BCA" w14:textId="77777777" w:rsidR="008A110F" w:rsidRDefault="00130B6B" w:rsidP="00B71F79">
      <w:pPr>
        <w:pStyle w:val="Preliminary"/>
      </w:pPr>
      <w:r>
        <w:t>Table of Contents</w:t>
      </w:r>
    </w:p>
    <w:p w14:paraId="164B70BF" w14:textId="3E736DAF" w:rsidR="00634E5C" w:rsidRDefault="00B71F79">
      <w:pPr>
        <w:pStyle w:val="TOC1"/>
        <w:rPr>
          <w:rFonts w:asciiTheme="minorHAnsi" w:eastAsiaTheme="minorEastAsia" w:hAnsiTheme="minorHAnsi" w:cstheme="minorBidi"/>
          <w:b w:val="0"/>
          <w:noProof/>
          <w:sz w:val="22"/>
          <w:szCs w:val="22"/>
          <w:lang w:eastAsia="zh-CN"/>
        </w:rPr>
      </w:pPr>
      <w:r>
        <w:rPr>
          <w:bCs/>
        </w:rPr>
        <w:fldChar w:fldCharType="begin"/>
      </w:r>
      <w:r>
        <w:rPr>
          <w:bCs/>
        </w:rPr>
        <w:instrText xml:space="preserve"> TOC \o "3-5" \h \z \t "Heading 1,1,Heading 2,2,Heading,1,App Section,2,Appendix,1" </w:instrText>
      </w:r>
      <w:r>
        <w:rPr>
          <w:bCs/>
        </w:rPr>
        <w:fldChar w:fldCharType="separate"/>
      </w:r>
      <w:hyperlink w:anchor="_Toc88218502" w:history="1">
        <w:r w:rsidR="00634E5C" w:rsidRPr="00EA3A75">
          <w:rPr>
            <w:rStyle w:val="Hyperlink"/>
            <w:noProof/>
          </w:rPr>
          <w:t>1.0 Introduction</w:t>
        </w:r>
        <w:r w:rsidR="00634E5C">
          <w:rPr>
            <w:noProof/>
            <w:webHidden/>
          </w:rPr>
          <w:tab/>
        </w:r>
        <w:r w:rsidR="00634E5C">
          <w:rPr>
            <w:noProof/>
            <w:webHidden/>
          </w:rPr>
          <w:fldChar w:fldCharType="begin"/>
        </w:r>
        <w:r w:rsidR="00634E5C">
          <w:rPr>
            <w:noProof/>
            <w:webHidden/>
          </w:rPr>
          <w:instrText xml:space="preserve"> PAGEREF _Toc88218502 \h </w:instrText>
        </w:r>
        <w:r w:rsidR="00634E5C">
          <w:rPr>
            <w:noProof/>
            <w:webHidden/>
          </w:rPr>
        </w:r>
        <w:r w:rsidR="00634E5C">
          <w:rPr>
            <w:noProof/>
            <w:webHidden/>
          </w:rPr>
          <w:fldChar w:fldCharType="separate"/>
        </w:r>
        <w:r w:rsidR="00CD04FC">
          <w:rPr>
            <w:noProof/>
            <w:webHidden/>
          </w:rPr>
          <w:t>1</w:t>
        </w:r>
        <w:r w:rsidR="00634E5C">
          <w:rPr>
            <w:noProof/>
            <w:webHidden/>
          </w:rPr>
          <w:fldChar w:fldCharType="end"/>
        </w:r>
      </w:hyperlink>
    </w:p>
    <w:p w14:paraId="673113F2" w14:textId="61795619" w:rsidR="00634E5C" w:rsidRDefault="003729D1">
      <w:pPr>
        <w:pStyle w:val="TOC2"/>
        <w:rPr>
          <w:rFonts w:asciiTheme="minorHAnsi" w:eastAsiaTheme="minorEastAsia" w:hAnsiTheme="minorHAnsi" w:cstheme="minorBidi"/>
          <w:b w:val="0"/>
          <w:noProof/>
          <w:sz w:val="22"/>
          <w:szCs w:val="22"/>
          <w:lang w:eastAsia="zh-CN"/>
        </w:rPr>
      </w:pPr>
      <w:hyperlink w:anchor="_Toc88218503" w:history="1">
        <w:r w:rsidR="00634E5C" w:rsidRPr="00EA3A75">
          <w:rPr>
            <w:rStyle w:val="Hyperlink"/>
            <w:noProof/>
          </w:rPr>
          <w:t>1.1 Etiology of Voice Disorders</w:t>
        </w:r>
        <w:r w:rsidR="00634E5C">
          <w:rPr>
            <w:noProof/>
            <w:webHidden/>
          </w:rPr>
          <w:tab/>
        </w:r>
        <w:r w:rsidR="00634E5C">
          <w:rPr>
            <w:noProof/>
            <w:webHidden/>
          </w:rPr>
          <w:fldChar w:fldCharType="begin"/>
        </w:r>
        <w:r w:rsidR="00634E5C">
          <w:rPr>
            <w:noProof/>
            <w:webHidden/>
          </w:rPr>
          <w:instrText xml:space="preserve"> PAGEREF _Toc88218503 \h </w:instrText>
        </w:r>
        <w:r w:rsidR="00634E5C">
          <w:rPr>
            <w:noProof/>
            <w:webHidden/>
          </w:rPr>
        </w:r>
        <w:r w:rsidR="00634E5C">
          <w:rPr>
            <w:noProof/>
            <w:webHidden/>
          </w:rPr>
          <w:fldChar w:fldCharType="separate"/>
        </w:r>
        <w:r w:rsidR="00CD04FC">
          <w:rPr>
            <w:noProof/>
            <w:webHidden/>
          </w:rPr>
          <w:t>1</w:t>
        </w:r>
        <w:r w:rsidR="00634E5C">
          <w:rPr>
            <w:noProof/>
            <w:webHidden/>
          </w:rPr>
          <w:fldChar w:fldCharType="end"/>
        </w:r>
      </w:hyperlink>
    </w:p>
    <w:p w14:paraId="60D70C78" w14:textId="2DCC0A6F" w:rsidR="00634E5C" w:rsidRDefault="003729D1">
      <w:pPr>
        <w:pStyle w:val="TOC2"/>
        <w:rPr>
          <w:rFonts w:asciiTheme="minorHAnsi" w:eastAsiaTheme="minorEastAsia" w:hAnsiTheme="minorHAnsi" w:cstheme="minorBidi"/>
          <w:b w:val="0"/>
          <w:noProof/>
          <w:sz w:val="22"/>
          <w:szCs w:val="22"/>
          <w:lang w:eastAsia="zh-CN"/>
        </w:rPr>
      </w:pPr>
      <w:hyperlink w:anchor="_Toc88218504" w:history="1">
        <w:r w:rsidR="00634E5C" w:rsidRPr="00EA3A75">
          <w:rPr>
            <w:rStyle w:val="Hyperlink"/>
            <w:noProof/>
          </w:rPr>
          <w:t>1.2 Structure of the Vocal Folds</w:t>
        </w:r>
        <w:r w:rsidR="00634E5C">
          <w:rPr>
            <w:noProof/>
            <w:webHidden/>
          </w:rPr>
          <w:tab/>
        </w:r>
        <w:r w:rsidR="00634E5C">
          <w:rPr>
            <w:noProof/>
            <w:webHidden/>
          </w:rPr>
          <w:fldChar w:fldCharType="begin"/>
        </w:r>
        <w:r w:rsidR="00634E5C">
          <w:rPr>
            <w:noProof/>
            <w:webHidden/>
          </w:rPr>
          <w:instrText xml:space="preserve"> PAGEREF _Toc88218504 \h </w:instrText>
        </w:r>
        <w:r w:rsidR="00634E5C">
          <w:rPr>
            <w:noProof/>
            <w:webHidden/>
          </w:rPr>
        </w:r>
        <w:r w:rsidR="00634E5C">
          <w:rPr>
            <w:noProof/>
            <w:webHidden/>
          </w:rPr>
          <w:fldChar w:fldCharType="separate"/>
        </w:r>
        <w:r w:rsidR="00CD04FC">
          <w:rPr>
            <w:noProof/>
            <w:webHidden/>
          </w:rPr>
          <w:t>3</w:t>
        </w:r>
        <w:r w:rsidR="00634E5C">
          <w:rPr>
            <w:noProof/>
            <w:webHidden/>
          </w:rPr>
          <w:fldChar w:fldCharType="end"/>
        </w:r>
      </w:hyperlink>
    </w:p>
    <w:p w14:paraId="35064477" w14:textId="610102DF" w:rsidR="00634E5C" w:rsidRDefault="003729D1">
      <w:pPr>
        <w:pStyle w:val="TOC3"/>
        <w:rPr>
          <w:rFonts w:asciiTheme="minorHAnsi" w:eastAsiaTheme="minorEastAsia" w:hAnsiTheme="minorHAnsi" w:cstheme="minorBidi"/>
          <w:b w:val="0"/>
          <w:noProof/>
          <w:sz w:val="22"/>
          <w:szCs w:val="22"/>
          <w:lang w:eastAsia="zh-CN"/>
        </w:rPr>
      </w:pPr>
      <w:hyperlink w:anchor="_Toc88218505" w:history="1">
        <w:r w:rsidR="00634E5C" w:rsidRPr="00EA3A75">
          <w:rPr>
            <w:rStyle w:val="Hyperlink"/>
            <w:noProof/>
          </w:rPr>
          <w:t>1.2.1 Stratified Squamous Epithelium</w:t>
        </w:r>
        <w:r w:rsidR="00634E5C">
          <w:rPr>
            <w:noProof/>
            <w:webHidden/>
          </w:rPr>
          <w:tab/>
        </w:r>
        <w:r w:rsidR="00634E5C">
          <w:rPr>
            <w:noProof/>
            <w:webHidden/>
          </w:rPr>
          <w:fldChar w:fldCharType="begin"/>
        </w:r>
        <w:r w:rsidR="00634E5C">
          <w:rPr>
            <w:noProof/>
            <w:webHidden/>
          </w:rPr>
          <w:instrText xml:space="preserve"> PAGEREF _Toc88218505 \h </w:instrText>
        </w:r>
        <w:r w:rsidR="00634E5C">
          <w:rPr>
            <w:noProof/>
            <w:webHidden/>
          </w:rPr>
        </w:r>
        <w:r w:rsidR="00634E5C">
          <w:rPr>
            <w:noProof/>
            <w:webHidden/>
          </w:rPr>
          <w:fldChar w:fldCharType="separate"/>
        </w:r>
        <w:r w:rsidR="00CD04FC">
          <w:rPr>
            <w:noProof/>
            <w:webHidden/>
          </w:rPr>
          <w:t>4</w:t>
        </w:r>
        <w:r w:rsidR="00634E5C">
          <w:rPr>
            <w:noProof/>
            <w:webHidden/>
          </w:rPr>
          <w:fldChar w:fldCharType="end"/>
        </w:r>
      </w:hyperlink>
    </w:p>
    <w:p w14:paraId="4C7D6026" w14:textId="42584056" w:rsidR="00634E5C" w:rsidRDefault="003729D1">
      <w:pPr>
        <w:pStyle w:val="TOC3"/>
        <w:rPr>
          <w:rFonts w:asciiTheme="minorHAnsi" w:eastAsiaTheme="minorEastAsia" w:hAnsiTheme="minorHAnsi" w:cstheme="minorBidi"/>
          <w:b w:val="0"/>
          <w:noProof/>
          <w:sz w:val="22"/>
          <w:szCs w:val="22"/>
          <w:lang w:eastAsia="zh-CN"/>
        </w:rPr>
      </w:pPr>
      <w:hyperlink w:anchor="_Toc88218506" w:history="1">
        <w:r w:rsidR="00634E5C" w:rsidRPr="00EA3A75">
          <w:rPr>
            <w:rStyle w:val="Hyperlink"/>
            <w:noProof/>
          </w:rPr>
          <w:t>1.2.2 Lamina Propria</w:t>
        </w:r>
        <w:r w:rsidR="00634E5C">
          <w:rPr>
            <w:noProof/>
            <w:webHidden/>
          </w:rPr>
          <w:tab/>
        </w:r>
        <w:r w:rsidR="00634E5C">
          <w:rPr>
            <w:noProof/>
            <w:webHidden/>
          </w:rPr>
          <w:fldChar w:fldCharType="begin"/>
        </w:r>
        <w:r w:rsidR="00634E5C">
          <w:rPr>
            <w:noProof/>
            <w:webHidden/>
          </w:rPr>
          <w:instrText xml:space="preserve"> PAGEREF _Toc88218506 \h </w:instrText>
        </w:r>
        <w:r w:rsidR="00634E5C">
          <w:rPr>
            <w:noProof/>
            <w:webHidden/>
          </w:rPr>
        </w:r>
        <w:r w:rsidR="00634E5C">
          <w:rPr>
            <w:noProof/>
            <w:webHidden/>
          </w:rPr>
          <w:fldChar w:fldCharType="separate"/>
        </w:r>
        <w:r w:rsidR="00CD04FC">
          <w:rPr>
            <w:noProof/>
            <w:webHidden/>
          </w:rPr>
          <w:t>6</w:t>
        </w:r>
        <w:r w:rsidR="00634E5C">
          <w:rPr>
            <w:noProof/>
            <w:webHidden/>
          </w:rPr>
          <w:fldChar w:fldCharType="end"/>
        </w:r>
      </w:hyperlink>
    </w:p>
    <w:p w14:paraId="00DE6042" w14:textId="45C80BDE" w:rsidR="00634E5C" w:rsidRDefault="003729D1">
      <w:pPr>
        <w:pStyle w:val="TOC3"/>
        <w:rPr>
          <w:rFonts w:asciiTheme="minorHAnsi" w:eastAsiaTheme="minorEastAsia" w:hAnsiTheme="minorHAnsi" w:cstheme="minorBidi"/>
          <w:b w:val="0"/>
          <w:noProof/>
          <w:sz w:val="22"/>
          <w:szCs w:val="22"/>
          <w:lang w:eastAsia="zh-CN"/>
        </w:rPr>
      </w:pPr>
      <w:hyperlink w:anchor="_Toc88218507" w:history="1">
        <w:r w:rsidR="00634E5C" w:rsidRPr="00EA3A75">
          <w:rPr>
            <w:rStyle w:val="Hyperlink"/>
            <w:noProof/>
          </w:rPr>
          <w:t>1.2.3 Thyroarytenoid Muscle</w:t>
        </w:r>
        <w:r w:rsidR="00634E5C">
          <w:rPr>
            <w:noProof/>
            <w:webHidden/>
          </w:rPr>
          <w:tab/>
        </w:r>
        <w:r w:rsidR="00634E5C">
          <w:rPr>
            <w:noProof/>
            <w:webHidden/>
          </w:rPr>
          <w:fldChar w:fldCharType="begin"/>
        </w:r>
        <w:r w:rsidR="00634E5C">
          <w:rPr>
            <w:noProof/>
            <w:webHidden/>
          </w:rPr>
          <w:instrText xml:space="preserve"> PAGEREF _Toc88218507 \h </w:instrText>
        </w:r>
        <w:r w:rsidR="00634E5C">
          <w:rPr>
            <w:noProof/>
            <w:webHidden/>
          </w:rPr>
        </w:r>
        <w:r w:rsidR="00634E5C">
          <w:rPr>
            <w:noProof/>
            <w:webHidden/>
          </w:rPr>
          <w:fldChar w:fldCharType="separate"/>
        </w:r>
        <w:r w:rsidR="00CD04FC">
          <w:rPr>
            <w:noProof/>
            <w:webHidden/>
          </w:rPr>
          <w:t>7</w:t>
        </w:r>
        <w:r w:rsidR="00634E5C">
          <w:rPr>
            <w:noProof/>
            <w:webHidden/>
          </w:rPr>
          <w:fldChar w:fldCharType="end"/>
        </w:r>
      </w:hyperlink>
    </w:p>
    <w:p w14:paraId="6E1F7E45" w14:textId="029B150D" w:rsidR="00634E5C" w:rsidRDefault="003729D1">
      <w:pPr>
        <w:pStyle w:val="TOC2"/>
        <w:rPr>
          <w:rFonts w:asciiTheme="minorHAnsi" w:eastAsiaTheme="minorEastAsia" w:hAnsiTheme="minorHAnsi" w:cstheme="minorBidi"/>
          <w:b w:val="0"/>
          <w:noProof/>
          <w:sz w:val="22"/>
          <w:szCs w:val="22"/>
          <w:lang w:eastAsia="zh-CN"/>
        </w:rPr>
      </w:pPr>
      <w:hyperlink w:anchor="_Toc88218508" w:history="1">
        <w:r w:rsidR="00634E5C" w:rsidRPr="00EA3A75">
          <w:rPr>
            <w:rStyle w:val="Hyperlink"/>
            <w:noProof/>
          </w:rPr>
          <w:t>1.3 Physiology of Voice Production</w:t>
        </w:r>
        <w:r w:rsidR="00634E5C">
          <w:rPr>
            <w:noProof/>
            <w:webHidden/>
          </w:rPr>
          <w:tab/>
        </w:r>
        <w:r w:rsidR="00634E5C">
          <w:rPr>
            <w:noProof/>
            <w:webHidden/>
          </w:rPr>
          <w:fldChar w:fldCharType="begin"/>
        </w:r>
        <w:r w:rsidR="00634E5C">
          <w:rPr>
            <w:noProof/>
            <w:webHidden/>
          </w:rPr>
          <w:instrText xml:space="preserve"> PAGEREF _Toc88218508 \h </w:instrText>
        </w:r>
        <w:r w:rsidR="00634E5C">
          <w:rPr>
            <w:noProof/>
            <w:webHidden/>
          </w:rPr>
        </w:r>
        <w:r w:rsidR="00634E5C">
          <w:rPr>
            <w:noProof/>
            <w:webHidden/>
          </w:rPr>
          <w:fldChar w:fldCharType="separate"/>
        </w:r>
        <w:r w:rsidR="00CD04FC">
          <w:rPr>
            <w:noProof/>
            <w:webHidden/>
          </w:rPr>
          <w:t>8</w:t>
        </w:r>
        <w:r w:rsidR="00634E5C">
          <w:rPr>
            <w:noProof/>
            <w:webHidden/>
          </w:rPr>
          <w:fldChar w:fldCharType="end"/>
        </w:r>
      </w:hyperlink>
    </w:p>
    <w:p w14:paraId="493C030B" w14:textId="520CF8AA" w:rsidR="00634E5C" w:rsidRDefault="003729D1">
      <w:pPr>
        <w:pStyle w:val="TOC2"/>
        <w:rPr>
          <w:rFonts w:asciiTheme="minorHAnsi" w:eastAsiaTheme="minorEastAsia" w:hAnsiTheme="minorHAnsi" w:cstheme="minorBidi"/>
          <w:b w:val="0"/>
          <w:noProof/>
          <w:sz w:val="22"/>
          <w:szCs w:val="22"/>
          <w:lang w:eastAsia="zh-CN"/>
        </w:rPr>
      </w:pPr>
      <w:hyperlink w:anchor="_Toc88218509" w:history="1">
        <w:r w:rsidR="00634E5C" w:rsidRPr="00EA3A75">
          <w:rPr>
            <w:rStyle w:val="Hyperlink"/>
            <w:noProof/>
          </w:rPr>
          <w:t>1.4 Vocal Fold Injury</w:t>
        </w:r>
        <w:r w:rsidR="00634E5C">
          <w:rPr>
            <w:noProof/>
            <w:webHidden/>
          </w:rPr>
          <w:tab/>
        </w:r>
        <w:r w:rsidR="00634E5C">
          <w:rPr>
            <w:noProof/>
            <w:webHidden/>
          </w:rPr>
          <w:fldChar w:fldCharType="begin"/>
        </w:r>
        <w:r w:rsidR="00634E5C">
          <w:rPr>
            <w:noProof/>
            <w:webHidden/>
          </w:rPr>
          <w:instrText xml:space="preserve"> PAGEREF _Toc88218509 \h </w:instrText>
        </w:r>
        <w:r w:rsidR="00634E5C">
          <w:rPr>
            <w:noProof/>
            <w:webHidden/>
          </w:rPr>
        </w:r>
        <w:r w:rsidR="00634E5C">
          <w:rPr>
            <w:noProof/>
            <w:webHidden/>
          </w:rPr>
          <w:fldChar w:fldCharType="separate"/>
        </w:r>
        <w:r w:rsidR="00CD04FC">
          <w:rPr>
            <w:noProof/>
            <w:webHidden/>
          </w:rPr>
          <w:t>9</w:t>
        </w:r>
        <w:r w:rsidR="00634E5C">
          <w:rPr>
            <w:noProof/>
            <w:webHidden/>
          </w:rPr>
          <w:fldChar w:fldCharType="end"/>
        </w:r>
      </w:hyperlink>
    </w:p>
    <w:p w14:paraId="1E4DAA9E" w14:textId="32859D47" w:rsidR="00634E5C" w:rsidRDefault="003729D1">
      <w:pPr>
        <w:pStyle w:val="TOC3"/>
        <w:rPr>
          <w:rFonts w:asciiTheme="minorHAnsi" w:eastAsiaTheme="minorEastAsia" w:hAnsiTheme="minorHAnsi" w:cstheme="minorBidi"/>
          <w:b w:val="0"/>
          <w:noProof/>
          <w:sz w:val="22"/>
          <w:szCs w:val="22"/>
          <w:lang w:eastAsia="zh-CN"/>
        </w:rPr>
      </w:pPr>
      <w:hyperlink w:anchor="_Toc88218510" w:history="1">
        <w:r w:rsidR="00634E5C" w:rsidRPr="00EA3A75">
          <w:rPr>
            <w:rStyle w:val="Hyperlink"/>
            <w:noProof/>
          </w:rPr>
          <w:t>1.4.1 Causes of VF Injury</w:t>
        </w:r>
        <w:r w:rsidR="00634E5C">
          <w:rPr>
            <w:noProof/>
            <w:webHidden/>
          </w:rPr>
          <w:tab/>
        </w:r>
        <w:r w:rsidR="00634E5C">
          <w:rPr>
            <w:noProof/>
            <w:webHidden/>
          </w:rPr>
          <w:fldChar w:fldCharType="begin"/>
        </w:r>
        <w:r w:rsidR="00634E5C">
          <w:rPr>
            <w:noProof/>
            <w:webHidden/>
          </w:rPr>
          <w:instrText xml:space="preserve"> PAGEREF _Toc88218510 \h </w:instrText>
        </w:r>
        <w:r w:rsidR="00634E5C">
          <w:rPr>
            <w:noProof/>
            <w:webHidden/>
          </w:rPr>
        </w:r>
        <w:r w:rsidR="00634E5C">
          <w:rPr>
            <w:noProof/>
            <w:webHidden/>
          </w:rPr>
          <w:fldChar w:fldCharType="separate"/>
        </w:r>
        <w:r w:rsidR="00CD04FC">
          <w:rPr>
            <w:noProof/>
            <w:webHidden/>
          </w:rPr>
          <w:t>10</w:t>
        </w:r>
        <w:r w:rsidR="00634E5C">
          <w:rPr>
            <w:noProof/>
            <w:webHidden/>
          </w:rPr>
          <w:fldChar w:fldCharType="end"/>
        </w:r>
      </w:hyperlink>
    </w:p>
    <w:p w14:paraId="24973F46" w14:textId="5FB9C14B" w:rsidR="00634E5C" w:rsidRDefault="003729D1">
      <w:pPr>
        <w:pStyle w:val="TOC3"/>
        <w:rPr>
          <w:rFonts w:asciiTheme="minorHAnsi" w:eastAsiaTheme="minorEastAsia" w:hAnsiTheme="minorHAnsi" w:cstheme="minorBidi"/>
          <w:b w:val="0"/>
          <w:noProof/>
          <w:sz w:val="22"/>
          <w:szCs w:val="22"/>
          <w:lang w:eastAsia="zh-CN"/>
        </w:rPr>
      </w:pPr>
      <w:hyperlink w:anchor="_Toc88218511" w:history="1">
        <w:r w:rsidR="00634E5C" w:rsidRPr="00EA3A75">
          <w:rPr>
            <w:rStyle w:val="Hyperlink"/>
            <w:noProof/>
          </w:rPr>
          <w:t>1.4.2 Wound Healing Cascade</w:t>
        </w:r>
        <w:r w:rsidR="00634E5C">
          <w:rPr>
            <w:noProof/>
            <w:webHidden/>
          </w:rPr>
          <w:tab/>
        </w:r>
        <w:r w:rsidR="00634E5C">
          <w:rPr>
            <w:noProof/>
            <w:webHidden/>
          </w:rPr>
          <w:fldChar w:fldCharType="begin"/>
        </w:r>
        <w:r w:rsidR="00634E5C">
          <w:rPr>
            <w:noProof/>
            <w:webHidden/>
          </w:rPr>
          <w:instrText xml:space="preserve"> PAGEREF _Toc88218511 \h </w:instrText>
        </w:r>
        <w:r w:rsidR="00634E5C">
          <w:rPr>
            <w:noProof/>
            <w:webHidden/>
          </w:rPr>
        </w:r>
        <w:r w:rsidR="00634E5C">
          <w:rPr>
            <w:noProof/>
            <w:webHidden/>
          </w:rPr>
          <w:fldChar w:fldCharType="separate"/>
        </w:r>
        <w:r w:rsidR="00CD04FC">
          <w:rPr>
            <w:noProof/>
            <w:webHidden/>
          </w:rPr>
          <w:t>11</w:t>
        </w:r>
        <w:r w:rsidR="00634E5C">
          <w:rPr>
            <w:noProof/>
            <w:webHidden/>
          </w:rPr>
          <w:fldChar w:fldCharType="end"/>
        </w:r>
      </w:hyperlink>
    </w:p>
    <w:p w14:paraId="59632C08" w14:textId="52DA92CA" w:rsidR="00634E5C" w:rsidRDefault="003729D1">
      <w:pPr>
        <w:pStyle w:val="TOC4"/>
        <w:tabs>
          <w:tab w:val="right" w:leader="dot" w:pos="9350"/>
        </w:tabs>
        <w:rPr>
          <w:rFonts w:asciiTheme="minorHAnsi" w:eastAsiaTheme="minorEastAsia" w:hAnsiTheme="minorHAnsi" w:cstheme="minorBidi"/>
          <w:b w:val="0"/>
          <w:noProof/>
          <w:sz w:val="22"/>
          <w:szCs w:val="22"/>
          <w:lang w:eastAsia="zh-CN"/>
        </w:rPr>
      </w:pPr>
      <w:hyperlink w:anchor="_Toc88218512" w:history="1">
        <w:r w:rsidR="00634E5C" w:rsidRPr="00EA3A75">
          <w:rPr>
            <w:rStyle w:val="Hyperlink"/>
            <w:noProof/>
          </w:rPr>
          <w:t>1.4.2.1 Inflammatory Phase</w:t>
        </w:r>
        <w:r w:rsidR="00634E5C">
          <w:rPr>
            <w:noProof/>
            <w:webHidden/>
          </w:rPr>
          <w:tab/>
        </w:r>
        <w:r w:rsidR="00634E5C">
          <w:rPr>
            <w:noProof/>
            <w:webHidden/>
          </w:rPr>
          <w:fldChar w:fldCharType="begin"/>
        </w:r>
        <w:r w:rsidR="00634E5C">
          <w:rPr>
            <w:noProof/>
            <w:webHidden/>
          </w:rPr>
          <w:instrText xml:space="preserve"> PAGEREF _Toc88218512 \h </w:instrText>
        </w:r>
        <w:r w:rsidR="00634E5C">
          <w:rPr>
            <w:noProof/>
            <w:webHidden/>
          </w:rPr>
        </w:r>
        <w:r w:rsidR="00634E5C">
          <w:rPr>
            <w:noProof/>
            <w:webHidden/>
          </w:rPr>
          <w:fldChar w:fldCharType="separate"/>
        </w:r>
        <w:r w:rsidR="00CD04FC">
          <w:rPr>
            <w:noProof/>
            <w:webHidden/>
          </w:rPr>
          <w:t>11</w:t>
        </w:r>
        <w:r w:rsidR="00634E5C">
          <w:rPr>
            <w:noProof/>
            <w:webHidden/>
          </w:rPr>
          <w:fldChar w:fldCharType="end"/>
        </w:r>
      </w:hyperlink>
    </w:p>
    <w:p w14:paraId="4C9D134F" w14:textId="3D695738" w:rsidR="00634E5C" w:rsidRDefault="003729D1">
      <w:pPr>
        <w:pStyle w:val="TOC4"/>
        <w:tabs>
          <w:tab w:val="right" w:leader="dot" w:pos="9350"/>
        </w:tabs>
        <w:rPr>
          <w:rFonts w:asciiTheme="minorHAnsi" w:eastAsiaTheme="minorEastAsia" w:hAnsiTheme="minorHAnsi" w:cstheme="minorBidi"/>
          <w:b w:val="0"/>
          <w:noProof/>
          <w:sz w:val="22"/>
          <w:szCs w:val="22"/>
          <w:lang w:eastAsia="zh-CN"/>
        </w:rPr>
      </w:pPr>
      <w:hyperlink w:anchor="_Toc88218513" w:history="1">
        <w:r w:rsidR="00634E5C" w:rsidRPr="00EA3A75">
          <w:rPr>
            <w:rStyle w:val="Hyperlink"/>
            <w:noProof/>
          </w:rPr>
          <w:t>1.4.2.2 Proliferation Phase</w:t>
        </w:r>
        <w:r w:rsidR="00634E5C">
          <w:rPr>
            <w:noProof/>
            <w:webHidden/>
          </w:rPr>
          <w:tab/>
        </w:r>
        <w:r w:rsidR="00634E5C">
          <w:rPr>
            <w:noProof/>
            <w:webHidden/>
          </w:rPr>
          <w:fldChar w:fldCharType="begin"/>
        </w:r>
        <w:r w:rsidR="00634E5C">
          <w:rPr>
            <w:noProof/>
            <w:webHidden/>
          </w:rPr>
          <w:instrText xml:space="preserve"> PAGEREF _Toc88218513 \h </w:instrText>
        </w:r>
        <w:r w:rsidR="00634E5C">
          <w:rPr>
            <w:noProof/>
            <w:webHidden/>
          </w:rPr>
        </w:r>
        <w:r w:rsidR="00634E5C">
          <w:rPr>
            <w:noProof/>
            <w:webHidden/>
          </w:rPr>
          <w:fldChar w:fldCharType="separate"/>
        </w:r>
        <w:r w:rsidR="00CD04FC">
          <w:rPr>
            <w:noProof/>
            <w:webHidden/>
          </w:rPr>
          <w:t>13</w:t>
        </w:r>
        <w:r w:rsidR="00634E5C">
          <w:rPr>
            <w:noProof/>
            <w:webHidden/>
          </w:rPr>
          <w:fldChar w:fldCharType="end"/>
        </w:r>
      </w:hyperlink>
    </w:p>
    <w:p w14:paraId="40FAA6D3" w14:textId="7EC1B3D0" w:rsidR="00634E5C" w:rsidRDefault="003729D1">
      <w:pPr>
        <w:pStyle w:val="TOC4"/>
        <w:tabs>
          <w:tab w:val="right" w:leader="dot" w:pos="9350"/>
        </w:tabs>
        <w:rPr>
          <w:rFonts w:asciiTheme="minorHAnsi" w:eastAsiaTheme="minorEastAsia" w:hAnsiTheme="minorHAnsi" w:cstheme="minorBidi"/>
          <w:b w:val="0"/>
          <w:noProof/>
          <w:sz w:val="22"/>
          <w:szCs w:val="22"/>
          <w:lang w:eastAsia="zh-CN"/>
        </w:rPr>
      </w:pPr>
      <w:hyperlink w:anchor="_Toc88218514" w:history="1">
        <w:r w:rsidR="00634E5C" w:rsidRPr="00EA3A75">
          <w:rPr>
            <w:rStyle w:val="Hyperlink"/>
            <w:noProof/>
          </w:rPr>
          <w:t>1.4.2.3 Remodeling Phase</w:t>
        </w:r>
        <w:r w:rsidR="00634E5C">
          <w:rPr>
            <w:noProof/>
            <w:webHidden/>
          </w:rPr>
          <w:tab/>
        </w:r>
        <w:r w:rsidR="00634E5C">
          <w:rPr>
            <w:noProof/>
            <w:webHidden/>
          </w:rPr>
          <w:fldChar w:fldCharType="begin"/>
        </w:r>
        <w:r w:rsidR="00634E5C">
          <w:rPr>
            <w:noProof/>
            <w:webHidden/>
          </w:rPr>
          <w:instrText xml:space="preserve"> PAGEREF _Toc88218514 \h </w:instrText>
        </w:r>
        <w:r w:rsidR="00634E5C">
          <w:rPr>
            <w:noProof/>
            <w:webHidden/>
          </w:rPr>
        </w:r>
        <w:r w:rsidR="00634E5C">
          <w:rPr>
            <w:noProof/>
            <w:webHidden/>
          </w:rPr>
          <w:fldChar w:fldCharType="separate"/>
        </w:r>
        <w:r w:rsidR="00CD04FC">
          <w:rPr>
            <w:noProof/>
            <w:webHidden/>
          </w:rPr>
          <w:t>15</w:t>
        </w:r>
        <w:r w:rsidR="00634E5C">
          <w:rPr>
            <w:noProof/>
            <w:webHidden/>
          </w:rPr>
          <w:fldChar w:fldCharType="end"/>
        </w:r>
      </w:hyperlink>
    </w:p>
    <w:p w14:paraId="6ADEC06B" w14:textId="1B252E5A" w:rsidR="00634E5C" w:rsidRDefault="003729D1">
      <w:pPr>
        <w:pStyle w:val="TOC3"/>
        <w:rPr>
          <w:rFonts w:asciiTheme="minorHAnsi" w:eastAsiaTheme="minorEastAsia" w:hAnsiTheme="minorHAnsi" w:cstheme="minorBidi"/>
          <w:b w:val="0"/>
          <w:noProof/>
          <w:sz w:val="22"/>
          <w:szCs w:val="22"/>
          <w:lang w:eastAsia="zh-CN"/>
        </w:rPr>
      </w:pPr>
      <w:hyperlink w:anchor="_Toc88218515" w:history="1">
        <w:r w:rsidR="00634E5C" w:rsidRPr="00EA3A75">
          <w:rPr>
            <w:rStyle w:val="Hyperlink"/>
            <w:noProof/>
          </w:rPr>
          <w:t>1.4.3 Vocal Fold Wound Healing</w:t>
        </w:r>
        <w:r w:rsidR="00634E5C">
          <w:rPr>
            <w:noProof/>
            <w:webHidden/>
          </w:rPr>
          <w:tab/>
        </w:r>
        <w:r w:rsidR="00634E5C">
          <w:rPr>
            <w:noProof/>
            <w:webHidden/>
          </w:rPr>
          <w:fldChar w:fldCharType="begin"/>
        </w:r>
        <w:r w:rsidR="00634E5C">
          <w:rPr>
            <w:noProof/>
            <w:webHidden/>
          </w:rPr>
          <w:instrText xml:space="preserve"> PAGEREF _Toc88218515 \h </w:instrText>
        </w:r>
        <w:r w:rsidR="00634E5C">
          <w:rPr>
            <w:noProof/>
            <w:webHidden/>
          </w:rPr>
        </w:r>
        <w:r w:rsidR="00634E5C">
          <w:rPr>
            <w:noProof/>
            <w:webHidden/>
          </w:rPr>
          <w:fldChar w:fldCharType="separate"/>
        </w:r>
        <w:r w:rsidR="00CD04FC">
          <w:rPr>
            <w:noProof/>
            <w:webHidden/>
          </w:rPr>
          <w:t>16</w:t>
        </w:r>
        <w:r w:rsidR="00634E5C">
          <w:rPr>
            <w:noProof/>
            <w:webHidden/>
          </w:rPr>
          <w:fldChar w:fldCharType="end"/>
        </w:r>
      </w:hyperlink>
    </w:p>
    <w:p w14:paraId="7E88CBEB" w14:textId="6D7EC4E7" w:rsidR="00634E5C" w:rsidRDefault="003729D1">
      <w:pPr>
        <w:pStyle w:val="TOC2"/>
        <w:rPr>
          <w:rFonts w:asciiTheme="minorHAnsi" w:eastAsiaTheme="minorEastAsia" w:hAnsiTheme="minorHAnsi" w:cstheme="minorBidi"/>
          <w:b w:val="0"/>
          <w:noProof/>
          <w:sz w:val="22"/>
          <w:szCs w:val="22"/>
          <w:lang w:eastAsia="zh-CN"/>
        </w:rPr>
      </w:pPr>
      <w:hyperlink w:anchor="_Toc88218516" w:history="1">
        <w:r w:rsidR="00634E5C" w:rsidRPr="00EA3A75">
          <w:rPr>
            <w:rStyle w:val="Hyperlink"/>
            <w:noProof/>
          </w:rPr>
          <w:t>1.5 Glucocorticoids</w:t>
        </w:r>
        <w:r w:rsidR="00634E5C">
          <w:rPr>
            <w:noProof/>
            <w:webHidden/>
          </w:rPr>
          <w:tab/>
        </w:r>
        <w:r w:rsidR="00634E5C">
          <w:rPr>
            <w:noProof/>
            <w:webHidden/>
          </w:rPr>
          <w:fldChar w:fldCharType="begin"/>
        </w:r>
        <w:r w:rsidR="00634E5C">
          <w:rPr>
            <w:noProof/>
            <w:webHidden/>
          </w:rPr>
          <w:instrText xml:space="preserve"> PAGEREF _Toc88218516 \h </w:instrText>
        </w:r>
        <w:r w:rsidR="00634E5C">
          <w:rPr>
            <w:noProof/>
            <w:webHidden/>
          </w:rPr>
        </w:r>
        <w:r w:rsidR="00634E5C">
          <w:rPr>
            <w:noProof/>
            <w:webHidden/>
          </w:rPr>
          <w:fldChar w:fldCharType="separate"/>
        </w:r>
        <w:r w:rsidR="00CD04FC">
          <w:rPr>
            <w:noProof/>
            <w:webHidden/>
          </w:rPr>
          <w:t>19</w:t>
        </w:r>
        <w:r w:rsidR="00634E5C">
          <w:rPr>
            <w:noProof/>
            <w:webHidden/>
          </w:rPr>
          <w:fldChar w:fldCharType="end"/>
        </w:r>
      </w:hyperlink>
    </w:p>
    <w:p w14:paraId="6103EABC" w14:textId="54AF67CE" w:rsidR="00634E5C" w:rsidRDefault="003729D1">
      <w:pPr>
        <w:pStyle w:val="TOC3"/>
        <w:rPr>
          <w:rFonts w:asciiTheme="minorHAnsi" w:eastAsiaTheme="minorEastAsia" w:hAnsiTheme="minorHAnsi" w:cstheme="minorBidi"/>
          <w:b w:val="0"/>
          <w:noProof/>
          <w:sz w:val="22"/>
          <w:szCs w:val="22"/>
          <w:lang w:eastAsia="zh-CN"/>
        </w:rPr>
      </w:pPr>
      <w:hyperlink w:anchor="_Toc88218517" w:history="1">
        <w:r w:rsidR="00634E5C" w:rsidRPr="00EA3A75">
          <w:rPr>
            <w:rStyle w:val="Hyperlink"/>
            <w:noProof/>
          </w:rPr>
          <w:t>1.5.1 Glucocorticoid Mechanism of Action</w:t>
        </w:r>
        <w:r w:rsidR="00634E5C">
          <w:rPr>
            <w:noProof/>
            <w:webHidden/>
          </w:rPr>
          <w:tab/>
        </w:r>
        <w:r w:rsidR="00634E5C">
          <w:rPr>
            <w:noProof/>
            <w:webHidden/>
          </w:rPr>
          <w:fldChar w:fldCharType="begin"/>
        </w:r>
        <w:r w:rsidR="00634E5C">
          <w:rPr>
            <w:noProof/>
            <w:webHidden/>
          </w:rPr>
          <w:instrText xml:space="preserve"> PAGEREF _Toc88218517 \h </w:instrText>
        </w:r>
        <w:r w:rsidR="00634E5C">
          <w:rPr>
            <w:noProof/>
            <w:webHidden/>
          </w:rPr>
        </w:r>
        <w:r w:rsidR="00634E5C">
          <w:rPr>
            <w:noProof/>
            <w:webHidden/>
          </w:rPr>
          <w:fldChar w:fldCharType="separate"/>
        </w:r>
        <w:r w:rsidR="00CD04FC">
          <w:rPr>
            <w:noProof/>
            <w:webHidden/>
          </w:rPr>
          <w:t>19</w:t>
        </w:r>
        <w:r w:rsidR="00634E5C">
          <w:rPr>
            <w:noProof/>
            <w:webHidden/>
          </w:rPr>
          <w:fldChar w:fldCharType="end"/>
        </w:r>
      </w:hyperlink>
    </w:p>
    <w:p w14:paraId="6E510B95" w14:textId="4F62FB44" w:rsidR="00634E5C" w:rsidRDefault="003729D1">
      <w:pPr>
        <w:pStyle w:val="TOC4"/>
        <w:tabs>
          <w:tab w:val="right" w:leader="dot" w:pos="9350"/>
        </w:tabs>
        <w:rPr>
          <w:rFonts w:asciiTheme="minorHAnsi" w:eastAsiaTheme="minorEastAsia" w:hAnsiTheme="minorHAnsi" w:cstheme="minorBidi"/>
          <w:b w:val="0"/>
          <w:noProof/>
          <w:sz w:val="22"/>
          <w:szCs w:val="22"/>
          <w:lang w:eastAsia="zh-CN"/>
        </w:rPr>
      </w:pPr>
      <w:hyperlink w:anchor="_Toc88218518" w:history="1">
        <w:r w:rsidR="00634E5C" w:rsidRPr="00EA3A75">
          <w:rPr>
            <w:rStyle w:val="Hyperlink"/>
            <w:noProof/>
          </w:rPr>
          <w:t>1.5.1.1 Direct Genomic Mechanism of Action</w:t>
        </w:r>
        <w:r w:rsidR="00634E5C">
          <w:rPr>
            <w:noProof/>
            <w:webHidden/>
          </w:rPr>
          <w:tab/>
        </w:r>
        <w:r w:rsidR="00634E5C">
          <w:rPr>
            <w:noProof/>
            <w:webHidden/>
          </w:rPr>
          <w:fldChar w:fldCharType="begin"/>
        </w:r>
        <w:r w:rsidR="00634E5C">
          <w:rPr>
            <w:noProof/>
            <w:webHidden/>
          </w:rPr>
          <w:instrText xml:space="preserve"> PAGEREF _Toc88218518 \h </w:instrText>
        </w:r>
        <w:r w:rsidR="00634E5C">
          <w:rPr>
            <w:noProof/>
            <w:webHidden/>
          </w:rPr>
        </w:r>
        <w:r w:rsidR="00634E5C">
          <w:rPr>
            <w:noProof/>
            <w:webHidden/>
          </w:rPr>
          <w:fldChar w:fldCharType="separate"/>
        </w:r>
        <w:r w:rsidR="00CD04FC">
          <w:rPr>
            <w:noProof/>
            <w:webHidden/>
          </w:rPr>
          <w:t>20</w:t>
        </w:r>
        <w:r w:rsidR="00634E5C">
          <w:rPr>
            <w:noProof/>
            <w:webHidden/>
          </w:rPr>
          <w:fldChar w:fldCharType="end"/>
        </w:r>
      </w:hyperlink>
    </w:p>
    <w:p w14:paraId="36363270" w14:textId="0C0DAF25" w:rsidR="00634E5C" w:rsidRDefault="003729D1">
      <w:pPr>
        <w:pStyle w:val="TOC4"/>
        <w:tabs>
          <w:tab w:val="right" w:leader="dot" w:pos="9350"/>
        </w:tabs>
        <w:rPr>
          <w:rFonts w:asciiTheme="minorHAnsi" w:eastAsiaTheme="minorEastAsia" w:hAnsiTheme="minorHAnsi" w:cstheme="minorBidi"/>
          <w:b w:val="0"/>
          <w:noProof/>
          <w:sz w:val="22"/>
          <w:szCs w:val="22"/>
          <w:lang w:eastAsia="zh-CN"/>
        </w:rPr>
      </w:pPr>
      <w:hyperlink w:anchor="_Toc88218519" w:history="1">
        <w:r w:rsidR="00634E5C" w:rsidRPr="00EA3A75">
          <w:rPr>
            <w:rStyle w:val="Hyperlink"/>
            <w:noProof/>
          </w:rPr>
          <w:t>1.5.1.2 Indirect Genomic Mechanism of Action</w:t>
        </w:r>
        <w:r w:rsidR="00634E5C">
          <w:rPr>
            <w:noProof/>
            <w:webHidden/>
          </w:rPr>
          <w:tab/>
        </w:r>
        <w:r w:rsidR="00634E5C">
          <w:rPr>
            <w:noProof/>
            <w:webHidden/>
          </w:rPr>
          <w:fldChar w:fldCharType="begin"/>
        </w:r>
        <w:r w:rsidR="00634E5C">
          <w:rPr>
            <w:noProof/>
            <w:webHidden/>
          </w:rPr>
          <w:instrText xml:space="preserve"> PAGEREF _Toc88218519 \h </w:instrText>
        </w:r>
        <w:r w:rsidR="00634E5C">
          <w:rPr>
            <w:noProof/>
            <w:webHidden/>
          </w:rPr>
        </w:r>
        <w:r w:rsidR="00634E5C">
          <w:rPr>
            <w:noProof/>
            <w:webHidden/>
          </w:rPr>
          <w:fldChar w:fldCharType="separate"/>
        </w:r>
        <w:r w:rsidR="00CD04FC">
          <w:rPr>
            <w:noProof/>
            <w:webHidden/>
          </w:rPr>
          <w:t>21</w:t>
        </w:r>
        <w:r w:rsidR="00634E5C">
          <w:rPr>
            <w:noProof/>
            <w:webHidden/>
          </w:rPr>
          <w:fldChar w:fldCharType="end"/>
        </w:r>
      </w:hyperlink>
    </w:p>
    <w:p w14:paraId="5839CE53" w14:textId="47F3162C" w:rsidR="00634E5C" w:rsidRDefault="003729D1">
      <w:pPr>
        <w:pStyle w:val="TOC4"/>
        <w:tabs>
          <w:tab w:val="right" w:leader="dot" w:pos="9350"/>
        </w:tabs>
        <w:rPr>
          <w:rFonts w:asciiTheme="minorHAnsi" w:eastAsiaTheme="minorEastAsia" w:hAnsiTheme="minorHAnsi" w:cstheme="minorBidi"/>
          <w:b w:val="0"/>
          <w:noProof/>
          <w:sz w:val="22"/>
          <w:szCs w:val="22"/>
          <w:lang w:eastAsia="zh-CN"/>
        </w:rPr>
      </w:pPr>
      <w:hyperlink w:anchor="_Toc88218520" w:history="1">
        <w:r w:rsidR="00634E5C" w:rsidRPr="00EA3A75">
          <w:rPr>
            <w:rStyle w:val="Hyperlink"/>
            <w:noProof/>
          </w:rPr>
          <w:t>1.5.1.3 Non-Genomic Mechanism of Action</w:t>
        </w:r>
        <w:r w:rsidR="00634E5C">
          <w:rPr>
            <w:noProof/>
            <w:webHidden/>
          </w:rPr>
          <w:tab/>
        </w:r>
        <w:r w:rsidR="00634E5C">
          <w:rPr>
            <w:noProof/>
            <w:webHidden/>
          </w:rPr>
          <w:fldChar w:fldCharType="begin"/>
        </w:r>
        <w:r w:rsidR="00634E5C">
          <w:rPr>
            <w:noProof/>
            <w:webHidden/>
          </w:rPr>
          <w:instrText xml:space="preserve"> PAGEREF _Toc88218520 \h </w:instrText>
        </w:r>
        <w:r w:rsidR="00634E5C">
          <w:rPr>
            <w:noProof/>
            <w:webHidden/>
          </w:rPr>
        </w:r>
        <w:r w:rsidR="00634E5C">
          <w:rPr>
            <w:noProof/>
            <w:webHidden/>
          </w:rPr>
          <w:fldChar w:fldCharType="separate"/>
        </w:r>
        <w:r w:rsidR="00CD04FC">
          <w:rPr>
            <w:noProof/>
            <w:webHidden/>
          </w:rPr>
          <w:t>22</w:t>
        </w:r>
        <w:r w:rsidR="00634E5C">
          <w:rPr>
            <w:noProof/>
            <w:webHidden/>
          </w:rPr>
          <w:fldChar w:fldCharType="end"/>
        </w:r>
      </w:hyperlink>
    </w:p>
    <w:p w14:paraId="3CAD259D" w14:textId="33A99CFD" w:rsidR="00634E5C" w:rsidRDefault="003729D1">
      <w:pPr>
        <w:pStyle w:val="TOC3"/>
        <w:rPr>
          <w:rFonts w:asciiTheme="minorHAnsi" w:eastAsiaTheme="minorEastAsia" w:hAnsiTheme="minorHAnsi" w:cstheme="minorBidi"/>
          <w:b w:val="0"/>
          <w:noProof/>
          <w:sz w:val="22"/>
          <w:szCs w:val="22"/>
          <w:lang w:eastAsia="zh-CN"/>
        </w:rPr>
      </w:pPr>
      <w:hyperlink w:anchor="_Toc88218521" w:history="1">
        <w:r w:rsidR="00634E5C" w:rsidRPr="00EA3A75">
          <w:rPr>
            <w:rStyle w:val="Hyperlink"/>
            <w:noProof/>
          </w:rPr>
          <w:t>1.5.2 Effects of Glucocorticoids on the Vocal Folds and Other Tissue</w:t>
        </w:r>
        <w:r w:rsidR="00634E5C">
          <w:rPr>
            <w:noProof/>
            <w:webHidden/>
          </w:rPr>
          <w:tab/>
        </w:r>
        <w:r w:rsidR="00634E5C">
          <w:rPr>
            <w:noProof/>
            <w:webHidden/>
          </w:rPr>
          <w:fldChar w:fldCharType="begin"/>
        </w:r>
        <w:r w:rsidR="00634E5C">
          <w:rPr>
            <w:noProof/>
            <w:webHidden/>
          </w:rPr>
          <w:instrText xml:space="preserve"> PAGEREF _Toc88218521 \h </w:instrText>
        </w:r>
        <w:r w:rsidR="00634E5C">
          <w:rPr>
            <w:noProof/>
            <w:webHidden/>
          </w:rPr>
        </w:r>
        <w:r w:rsidR="00634E5C">
          <w:rPr>
            <w:noProof/>
            <w:webHidden/>
          </w:rPr>
          <w:fldChar w:fldCharType="separate"/>
        </w:r>
        <w:r w:rsidR="00CD04FC">
          <w:rPr>
            <w:noProof/>
            <w:webHidden/>
          </w:rPr>
          <w:t>24</w:t>
        </w:r>
        <w:r w:rsidR="00634E5C">
          <w:rPr>
            <w:noProof/>
            <w:webHidden/>
          </w:rPr>
          <w:fldChar w:fldCharType="end"/>
        </w:r>
      </w:hyperlink>
    </w:p>
    <w:p w14:paraId="5988BB3F" w14:textId="304E9CA8" w:rsidR="00634E5C" w:rsidRDefault="003729D1">
      <w:pPr>
        <w:pStyle w:val="TOC4"/>
        <w:tabs>
          <w:tab w:val="right" w:leader="dot" w:pos="9350"/>
        </w:tabs>
        <w:rPr>
          <w:rFonts w:asciiTheme="minorHAnsi" w:eastAsiaTheme="minorEastAsia" w:hAnsiTheme="minorHAnsi" w:cstheme="minorBidi"/>
          <w:b w:val="0"/>
          <w:noProof/>
          <w:sz w:val="22"/>
          <w:szCs w:val="22"/>
          <w:lang w:eastAsia="zh-CN"/>
        </w:rPr>
      </w:pPr>
      <w:hyperlink w:anchor="_Toc88218522" w:history="1">
        <w:r w:rsidR="00634E5C" w:rsidRPr="00EA3A75">
          <w:rPr>
            <w:rStyle w:val="Hyperlink"/>
            <w:noProof/>
          </w:rPr>
          <w:t>1.5.2.1 Mechanisms of Glucocorticoid-Induced Atrophy</w:t>
        </w:r>
        <w:r w:rsidR="00634E5C">
          <w:rPr>
            <w:noProof/>
            <w:webHidden/>
          </w:rPr>
          <w:tab/>
        </w:r>
        <w:r w:rsidR="00634E5C">
          <w:rPr>
            <w:noProof/>
            <w:webHidden/>
          </w:rPr>
          <w:fldChar w:fldCharType="begin"/>
        </w:r>
        <w:r w:rsidR="00634E5C">
          <w:rPr>
            <w:noProof/>
            <w:webHidden/>
          </w:rPr>
          <w:instrText xml:space="preserve"> PAGEREF _Toc88218522 \h </w:instrText>
        </w:r>
        <w:r w:rsidR="00634E5C">
          <w:rPr>
            <w:noProof/>
            <w:webHidden/>
          </w:rPr>
        </w:r>
        <w:r w:rsidR="00634E5C">
          <w:rPr>
            <w:noProof/>
            <w:webHidden/>
          </w:rPr>
          <w:fldChar w:fldCharType="separate"/>
        </w:r>
        <w:r w:rsidR="00CD04FC">
          <w:rPr>
            <w:noProof/>
            <w:webHidden/>
          </w:rPr>
          <w:t>26</w:t>
        </w:r>
        <w:r w:rsidR="00634E5C">
          <w:rPr>
            <w:noProof/>
            <w:webHidden/>
          </w:rPr>
          <w:fldChar w:fldCharType="end"/>
        </w:r>
      </w:hyperlink>
    </w:p>
    <w:p w14:paraId="6D84371A" w14:textId="788D3DC2" w:rsidR="00634E5C" w:rsidRDefault="003729D1">
      <w:pPr>
        <w:pStyle w:val="TOC5"/>
        <w:tabs>
          <w:tab w:val="left" w:pos="1512"/>
          <w:tab w:val="right" w:leader="dot" w:pos="9350"/>
        </w:tabs>
        <w:rPr>
          <w:rFonts w:asciiTheme="minorHAnsi" w:eastAsiaTheme="minorEastAsia" w:hAnsiTheme="minorHAnsi" w:cstheme="minorBidi"/>
          <w:b w:val="0"/>
          <w:noProof/>
          <w:sz w:val="22"/>
          <w:szCs w:val="22"/>
          <w:lang w:eastAsia="zh-CN"/>
        </w:rPr>
      </w:pPr>
      <w:hyperlink w:anchor="_Toc88218523" w:history="1">
        <w:r w:rsidR="00634E5C" w:rsidRPr="00EA3A75">
          <w:rPr>
            <w:rStyle w:val="Hyperlink"/>
            <w:noProof/>
          </w:rPr>
          <w:t>1.5.2.1.1</w:t>
        </w:r>
        <w:r w:rsidR="00634E5C">
          <w:rPr>
            <w:rFonts w:asciiTheme="minorHAnsi" w:eastAsiaTheme="minorEastAsia" w:hAnsiTheme="minorHAnsi" w:cstheme="minorBidi"/>
            <w:b w:val="0"/>
            <w:noProof/>
            <w:sz w:val="22"/>
            <w:szCs w:val="22"/>
            <w:lang w:eastAsia="zh-CN"/>
          </w:rPr>
          <w:tab/>
        </w:r>
        <w:r w:rsidR="00634E5C" w:rsidRPr="00EA3A75">
          <w:rPr>
            <w:rStyle w:val="Hyperlink"/>
            <w:noProof/>
          </w:rPr>
          <w:t>Systems Involved in Synthesis and Degradation of Muscle</w:t>
        </w:r>
        <w:r w:rsidR="00634E5C">
          <w:rPr>
            <w:noProof/>
            <w:webHidden/>
          </w:rPr>
          <w:tab/>
        </w:r>
        <w:r w:rsidR="00634E5C">
          <w:rPr>
            <w:noProof/>
            <w:webHidden/>
          </w:rPr>
          <w:fldChar w:fldCharType="begin"/>
        </w:r>
        <w:r w:rsidR="00634E5C">
          <w:rPr>
            <w:noProof/>
            <w:webHidden/>
          </w:rPr>
          <w:instrText xml:space="preserve"> PAGEREF _Toc88218523 \h </w:instrText>
        </w:r>
        <w:r w:rsidR="00634E5C">
          <w:rPr>
            <w:noProof/>
            <w:webHidden/>
          </w:rPr>
        </w:r>
        <w:r w:rsidR="00634E5C">
          <w:rPr>
            <w:noProof/>
            <w:webHidden/>
          </w:rPr>
          <w:fldChar w:fldCharType="separate"/>
        </w:r>
        <w:r w:rsidR="00CD04FC">
          <w:rPr>
            <w:noProof/>
            <w:webHidden/>
          </w:rPr>
          <w:t>28</w:t>
        </w:r>
        <w:r w:rsidR="00634E5C">
          <w:rPr>
            <w:noProof/>
            <w:webHidden/>
          </w:rPr>
          <w:fldChar w:fldCharType="end"/>
        </w:r>
      </w:hyperlink>
    </w:p>
    <w:p w14:paraId="0442CAC6" w14:textId="25999019" w:rsidR="00634E5C" w:rsidRDefault="003729D1">
      <w:pPr>
        <w:pStyle w:val="TOC5"/>
        <w:tabs>
          <w:tab w:val="left" w:pos="1512"/>
          <w:tab w:val="right" w:leader="dot" w:pos="9350"/>
        </w:tabs>
        <w:rPr>
          <w:rFonts w:asciiTheme="minorHAnsi" w:eastAsiaTheme="minorEastAsia" w:hAnsiTheme="minorHAnsi" w:cstheme="minorBidi"/>
          <w:b w:val="0"/>
          <w:noProof/>
          <w:sz w:val="22"/>
          <w:szCs w:val="22"/>
          <w:lang w:eastAsia="zh-CN"/>
        </w:rPr>
      </w:pPr>
      <w:hyperlink w:anchor="_Toc88218524" w:history="1">
        <w:r w:rsidR="00634E5C" w:rsidRPr="00EA3A75">
          <w:rPr>
            <w:rStyle w:val="Hyperlink"/>
            <w:noProof/>
          </w:rPr>
          <w:t>1.5.2.1.2</w:t>
        </w:r>
        <w:r w:rsidR="00634E5C">
          <w:rPr>
            <w:rFonts w:asciiTheme="minorHAnsi" w:eastAsiaTheme="minorEastAsia" w:hAnsiTheme="minorHAnsi" w:cstheme="minorBidi"/>
            <w:b w:val="0"/>
            <w:noProof/>
            <w:sz w:val="22"/>
            <w:szCs w:val="22"/>
            <w:lang w:eastAsia="zh-CN"/>
          </w:rPr>
          <w:tab/>
        </w:r>
        <w:r w:rsidR="00634E5C" w:rsidRPr="00EA3A75">
          <w:rPr>
            <w:rStyle w:val="Hyperlink"/>
            <w:noProof/>
          </w:rPr>
          <w:t>Inhibitory Effects</w:t>
        </w:r>
        <w:r w:rsidR="00634E5C">
          <w:rPr>
            <w:noProof/>
            <w:webHidden/>
          </w:rPr>
          <w:tab/>
        </w:r>
        <w:r w:rsidR="00634E5C">
          <w:rPr>
            <w:noProof/>
            <w:webHidden/>
          </w:rPr>
          <w:fldChar w:fldCharType="begin"/>
        </w:r>
        <w:r w:rsidR="00634E5C">
          <w:rPr>
            <w:noProof/>
            <w:webHidden/>
          </w:rPr>
          <w:instrText xml:space="preserve"> PAGEREF _Toc88218524 \h </w:instrText>
        </w:r>
        <w:r w:rsidR="00634E5C">
          <w:rPr>
            <w:noProof/>
            <w:webHidden/>
          </w:rPr>
        </w:r>
        <w:r w:rsidR="00634E5C">
          <w:rPr>
            <w:noProof/>
            <w:webHidden/>
          </w:rPr>
          <w:fldChar w:fldCharType="separate"/>
        </w:r>
        <w:r w:rsidR="00CD04FC">
          <w:rPr>
            <w:noProof/>
            <w:webHidden/>
          </w:rPr>
          <w:t>31</w:t>
        </w:r>
        <w:r w:rsidR="00634E5C">
          <w:rPr>
            <w:noProof/>
            <w:webHidden/>
          </w:rPr>
          <w:fldChar w:fldCharType="end"/>
        </w:r>
      </w:hyperlink>
    </w:p>
    <w:p w14:paraId="1169B7D1" w14:textId="39B82DC8" w:rsidR="00634E5C" w:rsidRDefault="003729D1">
      <w:pPr>
        <w:pStyle w:val="TOC5"/>
        <w:tabs>
          <w:tab w:val="left" w:pos="1512"/>
          <w:tab w:val="right" w:leader="dot" w:pos="9350"/>
        </w:tabs>
        <w:rPr>
          <w:rFonts w:asciiTheme="minorHAnsi" w:eastAsiaTheme="minorEastAsia" w:hAnsiTheme="minorHAnsi" w:cstheme="minorBidi"/>
          <w:b w:val="0"/>
          <w:noProof/>
          <w:sz w:val="22"/>
          <w:szCs w:val="22"/>
          <w:lang w:eastAsia="zh-CN"/>
        </w:rPr>
      </w:pPr>
      <w:hyperlink w:anchor="_Toc88218525" w:history="1">
        <w:r w:rsidR="00634E5C" w:rsidRPr="00EA3A75">
          <w:rPr>
            <w:rStyle w:val="Hyperlink"/>
            <w:noProof/>
          </w:rPr>
          <w:t>1.5.2.1.3</w:t>
        </w:r>
        <w:r w:rsidR="00634E5C">
          <w:rPr>
            <w:rFonts w:asciiTheme="minorHAnsi" w:eastAsiaTheme="minorEastAsia" w:hAnsiTheme="minorHAnsi" w:cstheme="minorBidi"/>
            <w:b w:val="0"/>
            <w:noProof/>
            <w:sz w:val="22"/>
            <w:szCs w:val="22"/>
            <w:lang w:eastAsia="zh-CN"/>
          </w:rPr>
          <w:tab/>
        </w:r>
        <w:r w:rsidR="00634E5C" w:rsidRPr="00EA3A75">
          <w:rPr>
            <w:rStyle w:val="Hyperlink"/>
            <w:noProof/>
          </w:rPr>
          <w:t>Stimulatory Effects</w:t>
        </w:r>
        <w:r w:rsidR="00634E5C">
          <w:rPr>
            <w:noProof/>
            <w:webHidden/>
          </w:rPr>
          <w:tab/>
        </w:r>
        <w:r w:rsidR="00634E5C">
          <w:rPr>
            <w:noProof/>
            <w:webHidden/>
          </w:rPr>
          <w:fldChar w:fldCharType="begin"/>
        </w:r>
        <w:r w:rsidR="00634E5C">
          <w:rPr>
            <w:noProof/>
            <w:webHidden/>
          </w:rPr>
          <w:instrText xml:space="preserve"> PAGEREF _Toc88218525 \h </w:instrText>
        </w:r>
        <w:r w:rsidR="00634E5C">
          <w:rPr>
            <w:noProof/>
            <w:webHidden/>
          </w:rPr>
        </w:r>
        <w:r w:rsidR="00634E5C">
          <w:rPr>
            <w:noProof/>
            <w:webHidden/>
          </w:rPr>
          <w:fldChar w:fldCharType="separate"/>
        </w:r>
        <w:r w:rsidR="00CD04FC">
          <w:rPr>
            <w:noProof/>
            <w:webHidden/>
          </w:rPr>
          <w:t>33</w:t>
        </w:r>
        <w:r w:rsidR="00634E5C">
          <w:rPr>
            <w:noProof/>
            <w:webHidden/>
          </w:rPr>
          <w:fldChar w:fldCharType="end"/>
        </w:r>
      </w:hyperlink>
    </w:p>
    <w:p w14:paraId="1FBD9502" w14:textId="3038F522" w:rsidR="00634E5C" w:rsidRDefault="003729D1">
      <w:pPr>
        <w:pStyle w:val="TOC2"/>
        <w:rPr>
          <w:rFonts w:asciiTheme="minorHAnsi" w:eastAsiaTheme="minorEastAsia" w:hAnsiTheme="minorHAnsi" w:cstheme="minorBidi"/>
          <w:b w:val="0"/>
          <w:noProof/>
          <w:sz w:val="22"/>
          <w:szCs w:val="22"/>
          <w:lang w:eastAsia="zh-CN"/>
        </w:rPr>
      </w:pPr>
      <w:hyperlink w:anchor="_Toc88218526" w:history="1">
        <w:r w:rsidR="00634E5C" w:rsidRPr="00EA3A75">
          <w:rPr>
            <w:rStyle w:val="Hyperlink"/>
            <w:noProof/>
            <w:lang w:eastAsia="ko-KR"/>
          </w:rPr>
          <w:t>1.6 Specific Aims</w:t>
        </w:r>
        <w:r w:rsidR="00634E5C">
          <w:rPr>
            <w:noProof/>
            <w:webHidden/>
          </w:rPr>
          <w:tab/>
        </w:r>
        <w:r w:rsidR="00634E5C">
          <w:rPr>
            <w:noProof/>
            <w:webHidden/>
          </w:rPr>
          <w:fldChar w:fldCharType="begin"/>
        </w:r>
        <w:r w:rsidR="00634E5C">
          <w:rPr>
            <w:noProof/>
            <w:webHidden/>
          </w:rPr>
          <w:instrText xml:space="preserve"> PAGEREF _Toc88218526 \h </w:instrText>
        </w:r>
        <w:r w:rsidR="00634E5C">
          <w:rPr>
            <w:noProof/>
            <w:webHidden/>
          </w:rPr>
        </w:r>
        <w:r w:rsidR="00634E5C">
          <w:rPr>
            <w:noProof/>
            <w:webHidden/>
          </w:rPr>
          <w:fldChar w:fldCharType="separate"/>
        </w:r>
        <w:r w:rsidR="00CD04FC">
          <w:rPr>
            <w:noProof/>
            <w:webHidden/>
          </w:rPr>
          <w:t>34</w:t>
        </w:r>
        <w:r w:rsidR="00634E5C">
          <w:rPr>
            <w:noProof/>
            <w:webHidden/>
          </w:rPr>
          <w:fldChar w:fldCharType="end"/>
        </w:r>
      </w:hyperlink>
    </w:p>
    <w:p w14:paraId="470A3D86" w14:textId="4C52B0AD" w:rsidR="00634E5C" w:rsidRDefault="003729D1">
      <w:pPr>
        <w:pStyle w:val="TOC3"/>
        <w:rPr>
          <w:rFonts w:asciiTheme="minorHAnsi" w:eastAsiaTheme="minorEastAsia" w:hAnsiTheme="minorHAnsi" w:cstheme="minorBidi"/>
          <w:b w:val="0"/>
          <w:noProof/>
          <w:sz w:val="22"/>
          <w:szCs w:val="22"/>
          <w:lang w:eastAsia="zh-CN"/>
        </w:rPr>
      </w:pPr>
      <w:hyperlink w:anchor="_Toc88218527" w:history="1">
        <w:r w:rsidR="00634E5C" w:rsidRPr="00EA3A75">
          <w:rPr>
            <w:rStyle w:val="Hyperlink"/>
            <w:noProof/>
          </w:rPr>
          <w:t>1.6.1 Power Analyses</w:t>
        </w:r>
        <w:r w:rsidR="00634E5C">
          <w:rPr>
            <w:noProof/>
            <w:webHidden/>
          </w:rPr>
          <w:tab/>
        </w:r>
        <w:r w:rsidR="00634E5C">
          <w:rPr>
            <w:noProof/>
            <w:webHidden/>
          </w:rPr>
          <w:fldChar w:fldCharType="begin"/>
        </w:r>
        <w:r w:rsidR="00634E5C">
          <w:rPr>
            <w:noProof/>
            <w:webHidden/>
          </w:rPr>
          <w:instrText xml:space="preserve"> PAGEREF _Toc88218527 \h </w:instrText>
        </w:r>
        <w:r w:rsidR="00634E5C">
          <w:rPr>
            <w:noProof/>
            <w:webHidden/>
          </w:rPr>
        </w:r>
        <w:r w:rsidR="00634E5C">
          <w:rPr>
            <w:noProof/>
            <w:webHidden/>
          </w:rPr>
          <w:fldChar w:fldCharType="separate"/>
        </w:r>
        <w:r w:rsidR="00CD04FC">
          <w:rPr>
            <w:noProof/>
            <w:webHidden/>
          </w:rPr>
          <w:t>36</w:t>
        </w:r>
        <w:r w:rsidR="00634E5C">
          <w:rPr>
            <w:noProof/>
            <w:webHidden/>
          </w:rPr>
          <w:fldChar w:fldCharType="end"/>
        </w:r>
      </w:hyperlink>
    </w:p>
    <w:p w14:paraId="6EE728AD" w14:textId="00F94113" w:rsidR="00634E5C" w:rsidRDefault="003729D1">
      <w:pPr>
        <w:pStyle w:val="TOC1"/>
        <w:rPr>
          <w:rFonts w:asciiTheme="minorHAnsi" w:eastAsiaTheme="minorEastAsia" w:hAnsiTheme="minorHAnsi" w:cstheme="minorBidi"/>
          <w:b w:val="0"/>
          <w:noProof/>
          <w:sz w:val="22"/>
          <w:szCs w:val="22"/>
          <w:lang w:eastAsia="zh-CN"/>
        </w:rPr>
      </w:pPr>
      <w:hyperlink w:anchor="_Toc88218528" w:history="1">
        <w:r w:rsidR="00634E5C" w:rsidRPr="00EA3A75">
          <w:rPr>
            <w:rStyle w:val="Hyperlink"/>
            <w:noProof/>
          </w:rPr>
          <w:t>2.0 Methodology</w:t>
        </w:r>
        <w:r w:rsidR="00634E5C">
          <w:rPr>
            <w:noProof/>
            <w:webHidden/>
          </w:rPr>
          <w:tab/>
        </w:r>
        <w:r w:rsidR="00634E5C">
          <w:rPr>
            <w:noProof/>
            <w:webHidden/>
          </w:rPr>
          <w:fldChar w:fldCharType="begin"/>
        </w:r>
        <w:r w:rsidR="00634E5C">
          <w:rPr>
            <w:noProof/>
            <w:webHidden/>
          </w:rPr>
          <w:instrText xml:space="preserve"> PAGEREF _Toc88218528 \h </w:instrText>
        </w:r>
        <w:r w:rsidR="00634E5C">
          <w:rPr>
            <w:noProof/>
            <w:webHidden/>
          </w:rPr>
        </w:r>
        <w:r w:rsidR="00634E5C">
          <w:rPr>
            <w:noProof/>
            <w:webHidden/>
          </w:rPr>
          <w:fldChar w:fldCharType="separate"/>
        </w:r>
        <w:r w:rsidR="00CD04FC">
          <w:rPr>
            <w:noProof/>
            <w:webHidden/>
          </w:rPr>
          <w:t>38</w:t>
        </w:r>
        <w:r w:rsidR="00634E5C">
          <w:rPr>
            <w:noProof/>
            <w:webHidden/>
          </w:rPr>
          <w:fldChar w:fldCharType="end"/>
        </w:r>
      </w:hyperlink>
    </w:p>
    <w:p w14:paraId="35105D60" w14:textId="034C01AB" w:rsidR="00634E5C" w:rsidRDefault="003729D1">
      <w:pPr>
        <w:pStyle w:val="TOC2"/>
        <w:rPr>
          <w:rFonts w:asciiTheme="minorHAnsi" w:eastAsiaTheme="minorEastAsia" w:hAnsiTheme="minorHAnsi" w:cstheme="minorBidi"/>
          <w:b w:val="0"/>
          <w:noProof/>
          <w:sz w:val="22"/>
          <w:szCs w:val="22"/>
          <w:lang w:eastAsia="zh-CN"/>
        </w:rPr>
      </w:pPr>
      <w:hyperlink w:anchor="_Toc88218529" w:history="1">
        <w:r w:rsidR="00634E5C" w:rsidRPr="00EA3A75">
          <w:rPr>
            <w:rStyle w:val="Hyperlink"/>
            <w:noProof/>
          </w:rPr>
          <w:t>2.1 Human Tissue Procurement</w:t>
        </w:r>
        <w:r w:rsidR="00634E5C">
          <w:rPr>
            <w:noProof/>
            <w:webHidden/>
          </w:rPr>
          <w:tab/>
        </w:r>
        <w:r w:rsidR="00634E5C">
          <w:rPr>
            <w:noProof/>
            <w:webHidden/>
          </w:rPr>
          <w:fldChar w:fldCharType="begin"/>
        </w:r>
        <w:r w:rsidR="00634E5C">
          <w:rPr>
            <w:noProof/>
            <w:webHidden/>
          </w:rPr>
          <w:instrText xml:space="preserve"> PAGEREF _Toc88218529 \h </w:instrText>
        </w:r>
        <w:r w:rsidR="00634E5C">
          <w:rPr>
            <w:noProof/>
            <w:webHidden/>
          </w:rPr>
        </w:r>
        <w:r w:rsidR="00634E5C">
          <w:rPr>
            <w:noProof/>
            <w:webHidden/>
          </w:rPr>
          <w:fldChar w:fldCharType="separate"/>
        </w:r>
        <w:r w:rsidR="00CD04FC">
          <w:rPr>
            <w:noProof/>
            <w:webHidden/>
          </w:rPr>
          <w:t>38</w:t>
        </w:r>
        <w:r w:rsidR="00634E5C">
          <w:rPr>
            <w:noProof/>
            <w:webHidden/>
          </w:rPr>
          <w:fldChar w:fldCharType="end"/>
        </w:r>
      </w:hyperlink>
    </w:p>
    <w:p w14:paraId="4FDAEE56" w14:textId="1CAE9988" w:rsidR="00634E5C" w:rsidRDefault="003729D1">
      <w:pPr>
        <w:pStyle w:val="TOC2"/>
        <w:rPr>
          <w:rFonts w:asciiTheme="minorHAnsi" w:eastAsiaTheme="minorEastAsia" w:hAnsiTheme="minorHAnsi" w:cstheme="minorBidi"/>
          <w:b w:val="0"/>
          <w:noProof/>
          <w:sz w:val="22"/>
          <w:szCs w:val="22"/>
          <w:lang w:eastAsia="zh-CN"/>
        </w:rPr>
      </w:pPr>
      <w:hyperlink w:anchor="_Toc88218530" w:history="1">
        <w:r w:rsidR="00634E5C" w:rsidRPr="00EA3A75">
          <w:rPr>
            <w:rStyle w:val="Hyperlink"/>
            <w:noProof/>
          </w:rPr>
          <w:t>2.2 Animal Surgical Procedures</w:t>
        </w:r>
        <w:r w:rsidR="00634E5C">
          <w:rPr>
            <w:noProof/>
            <w:webHidden/>
          </w:rPr>
          <w:tab/>
        </w:r>
        <w:r w:rsidR="00634E5C">
          <w:rPr>
            <w:noProof/>
            <w:webHidden/>
          </w:rPr>
          <w:fldChar w:fldCharType="begin"/>
        </w:r>
        <w:r w:rsidR="00634E5C">
          <w:rPr>
            <w:noProof/>
            <w:webHidden/>
          </w:rPr>
          <w:instrText xml:space="preserve"> PAGEREF _Toc88218530 \h </w:instrText>
        </w:r>
        <w:r w:rsidR="00634E5C">
          <w:rPr>
            <w:noProof/>
            <w:webHidden/>
          </w:rPr>
        </w:r>
        <w:r w:rsidR="00634E5C">
          <w:rPr>
            <w:noProof/>
            <w:webHidden/>
          </w:rPr>
          <w:fldChar w:fldCharType="separate"/>
        </w:r>
        <w:r w:rsidR="00CD04FC">
          <w:rPr>
            <w:noProof/>
            <w:webHidden/>
          </w:rPr>
          <w:t>38</w:t>
        </w:r>
        <w:r w:rsidR="00634E5C">
          <w:rPr>
            <w:noProof/>
            <w:webHidden/>
          </w:rPr>
          <w:fldChar w:fldCharType="end"/>
        </w:r>
      </w:hyperlink>
    </w:p>
    <w:p w14:paraId="1CF63781" w14:textId="755250F2" w:rsidR="00634E5C" w:rsidRDefault="003729D1">
      <w:pPr>
        <w:pStyle w:val="TOC3"/>
        <w:rPr>
          <w:rFonts w:asciiTheme="minorHAnsi" w:eastAsiaTheme="minorEastAsia" w:hAnsiTheme="minorHAnsi" w:cstheme="minorBidi"/>
          <w:b w:val="0"/>
          <w:noProof/>
          <w:sz w:val="22"/>
          <w:szCs w:val="22"/>
          <w:lang w:eastAsia="zh-CN"/>
        </w:rPr>
      </w:pPr>
      <w:hyperlink w:anchor="_Toc88218531" w:history="1">
        <w:r w:rsidR="00634E5C" w:rsidRPr="00EA3A75">
          <w:rPr>
            <w:rStyle w:val="Hyperlink"/>
            <w:noProof/>
          </w:rPr>
          <w:t>2.2.1 Intramuscular Injections</w:t>
        </w:r>
        <w:r w:rsidR="00634E5C">
          <w:rPr>
            <w:noProof/>
            <w:webHidden/>
          </w:rPr>
          <w:tab/>
        </w:r>
        <w:r w:rsidR="00634E5C">
          <w:rPr>
            <w:noProof/>
            <w:webHidden/>
          </w:rPr>
          <w:fldChar w:fldCharType="begin"/>
        </w:r>
        <w:r w:rsidR="00634E5C">
          <w:rPr>
            <w:noProof/>
            <w:webHidden/>
          </w:rPr>
          <w:instrText xml:space="preserve"> PAGEREF _Toc88218531 \h </w:instrText>
        </w:r>
        <w:r w:rsidR="00634E5C">
          <w:rPr>
            <w:noProof/>
            <w:webHidden/>
          </w:rPr>
        </w:r>
        <w:r w:rsidR="00634E5C">
          <w:rPr>
            <w:noProof/>
            <w:webHidden/>
          </w:rPr>
          <w:fldChar w:fldCharType="separate"/>
        </w:r>
        <w:r w:rsidR="00CD04FC">
          <w:rPr>
            <w:noProof/>
            <w:webHidden/>
          </w:rPr>
          <w:t>38</w:t>
        </w:r>
        <w:r w:rsidR="00634E5C">
          <w:rPr>
            <w:noProof/>
            <w:webHidden/>
          </w:rPr>
          <w:fldChar w:fldCharType="end"/>
        </w:r>
      </w:hyperlink>
    </w:p>
    <w:p w14:paraId="2CBC16AC" w14:textId="6018C520" w:rsidR="00634E5C" w:rsidRDefault="003729D1">
      <w:pPr>
        <w:pStyle w:val="TOC3"/>
        <w:rPr>
          <w:rFonts w:asciiTheme="minorHAnsi" w:eastAsiaTheme="minorEastAsia" w:hAnsiTheme="minorHAnsi" w:cstheme="minorBidi"/>
          <w:b w:val="0"/>
          <w:noProof/>
          <w:sz w:val="22"/>
          <w:szCs w:val="22"/>
          <w:lang w:eastAsia="zh-CN"/>
        </w:rPr>
      </w:pPr>
      <w:hyperlink w:anchor="_Toc88218532" w:history="1">
        <w:r w:rsidR="00634E5C" w:rsidRPr="00EA3A75">
          <w:rPr>
            <w:rStyle w:val="Hyperlink"/>
            <w:noProof/>
          </w:rPr>
          <w:t>2.2.2 Intracordal Injection</w:t>
        </w:r>
        <w:r w:rsidR="00634E5C">
          <w:rPr>
            <w:noProof/>
            <w:webHidden/>
          </w:rPr>
          <w:tab/>
        </w:r>
        <w:r w:rsidR="00634E5C">
          <w:rPr>
            <w:noProof/>
            <w:webHidden/>
          </w:rPr>
          <w:fldChar w:fldCharType="begin"/>
        </w:r>
        <w:r w:rsidR="00634E5C">
          <w:rPr>
            <w:noProof/>
            <w:webHidden/>
          </w:rPr>
          <w:instrText xml:space="preserve"> PAGEREF _Toc88218532 \h </w:instrText>
        </w:r>
        <w:r w:rsidR="00634E5C">
          <w:rPr>
            <w:noProof/>
            <w:webHidden/>
          </w:rPr>
        </w:r>
        <w:r w:rsidR="00634E5C">
          <w:rPr>
            <w:noProof/>
            <w:webHidden/>
          </w:rPr>
          <w:fldChar w:fldCharType="separate"/>
        </w:r>
        <w:r w:rsidR="00CD04FC">
          <w:rPr>
            <w:noProof/>
            <w:webHidden/>
          </w:rPr>
          <w:t>39</w:t>
        </w:r>
        <w:r w:rsidR="00634E5C">
          <w:rPr>
            <w:noProof/>
            <w:webHidden/>
          </w:rPr>
          <w:fldChar w:fldCharType="end"/>
        </w:r>
      </w:hyperlink>
    </w:p>
    <w:p w14:paraId="46BE90E9" w14:textId="48873247" w:rsidR="00634E5C" w:rsidRDefault="003729D1">
      <w:pPr>
        <w:pStyle w:val="TOC3"/>
        <w:rPr>
          <w:rFonts w:asciiTheme="minorHAnsi" w:eastAsiaTheme="minorEastAsia" w:hAnsiTheme="minorHAnsi" w:cstheme="minorBidi"/>
          <w:b w:val="0"/>
          <w:noProof/>
          <w:sz w:val="22"/>
          <w:szCs w:val="22"/>
          <w:lang w:eastAsia="zh-CN"/>
        </w:rPr>
      </w:pPr>
      <w:hyperlink w:anchor="_Toc88218533" w:history="1">
        <w:r w:rsidR="00634E5C" w:rsidRPr="00EA3A75">
          <w:rPr>
            <w:rStyle w:val="Hyperlink"/>
            <w:noProof/>
          </w:rPr>
          <w:t>2.2.3 Rabbit Vocal Fold Tissue Acquisition</w:t>
        </w:r>
        <w:r w:rsidR="00634E5C">
          <w:rPr>
            <w:noProof/>
            <w:webHidden/>
          </w:rPr>
          <w:tab/>
        </w:r>
        <w:r w:rsidR="00634E5C">
          <w:rPr>
            <w:noProof/>
            <w:webHidden/>
          </w:rPr>
          <w:fldChar w:fldCharType="begin"/>
        </w:r>
        <w:r w:rsidR="00634E5C">
          <w:rPr>
            <w:noProof/>
            <w:webHidden/>
          </w:rPr>
          <w:instrText xml:space="preserve"> PAGEREF _Toc88218533 \h </w:instrText>
        </w:r>
        <w:r w:rsidR="00634E5C">
          <w:rPr>
            <w:noProof/>
            <w:webHidden/>
          </w:rPr>
        </w:r>
        <w:r w:rsidR="00634E5C">
          <w:rPr>
            <w:noProof/>
            <w:webHidden/>
          </w:rPr>
          <w:fldChar w:fldCharType="separate"/>
        </w:r>
        <w:r w:rsidR="00CD04FC">
          <w:rPr>
            <w:noProof/>
            <w:webHidden/>
          </w:rPr>
          <w:t>40</w:t>
        </w:r>
        <w:r w:rsidR="00634E5C">
          <w:rPr>
            <w:noProof/>
            <w:webHidden/>
          </w:rPr>
          <w:fldChar w:fldCharType="end"/>
        </w:r>
      </w:hyperlink>
    </w:p>
    <w:p w14:paraId="17CA1EFA" w14:textId="02486120" w:rsidR="00634E5C" w:rsidRDefault="003729D1">
      <w:pPr>
        <w:pStyle w:val="TOC3"/>
        <w:rPr>
          <w:rFonts w:asciiTheme="minorHAnsi" w:eastAsiaTheme="minorEastAsia" w:hAnsiTheme="minorHAnsi" w:cstheme="minorBidi"/>
          <w:b w:val="0"/>
          <w:noProof/>
          <w:sz w:val="22"/>
          <w:szCs w:val="22"/>
          <w:lang w:eastAsia="zh-CN"/>
        </w:rPr>
      </w:pPr>
      <w:hyperlink w:anchor="_Toc88218534" w:history="1">
        <w:r w:rsidR="00634E5C" w:rsidRPr="00EA3A75">
          <w:rPr>
            <w:rStyle w:val="Hyperlink"/>
            <w:noProof/>
          </w:rPr>
          <w:t>2.2.4 Frozen Vocal Fold Tissue Sectioning</w:t>
        </w:r>
        <w:r w:rsidR="00634E5C">
          <w:rPr>
            <w:noProof/>
            <w:webHidden/>
          </w:rPr>
          <w:tab/>
        </w:r>
        <w:r w:rsidR="00634E5C">
          <w:rPr>
            <w:noProof/>
            <w:webHidden/>
          </w:rPr>
          <w:fldChar w:fldCharType="begin"/>
        </w:r>
        <w:r w:rsidR="00634E5C">
          <w:rPr>
            <w:noProof/>
            <w:webHidden/>
          </w:rPr>
          <w:instrText xml:space="preserve"> PAGEREF _Toc88218534 \h </w:instrText>
        </w:r>
        <w:r w:rsidR="00634E5C">
          <w:rPr>
            <w:noProof/>
            <w:webHidden/>
          </w:rPr>
        </w:r>
        <w:r w:rsidR="00634E5C">
          <w:rPr>
            <w:noProof/>
            <w:webHidden/>
          </w:rPr>
          <w:fldChar w:fldCharType="separate"/>
        </w:r>
        <w:r w:rsidR="00CD04FC">
          <w:rPr>
            <w:noProof/>
            <w:webHidden/>
          </w:rPr>
          <w:t>42</w:t>
        </w:r>
        <w:r w:rsidR="00634E5C">
          <w:rPr>
            <w:noProof/>
            <w:webHidden/>
          </w:rPr>
          <w:fldChar w:fldCharType="end"/>
        </w:r>
      </w:hyperlink>
    </w:p>
    <w:p w14:paraId="4013189D" w14:textId="251867B4" w:rsidR="00634E5C" w:rsidRDefault="003729D1">
      <w:pPr>
        <w:pStyle w:val="TOC3"/>
        <w:rPr>
          <w:rFonts w:asciiTheme="minorHAnsi" w:eastAsiaTheme="minorEastAsia" w:hAnsiTheme="minorHAnsi" w:cstheme="minorBidi"/>
          <w:b w:val="0"/>
          <w:noProof/>
          <w:sz w:val="22"/>
          <w:szCs w:val="22"/>
          <w:lang w:eastAsia="zh-CN"/>
        </w:rPr>
      </w:pPr>
      <w:hyperlink w:anchor="_Toc88218535" w:history="1">
        <w:r w:rsidR="00634E5C" w:rsidRPr="00EA3A75">
          <w:rPr>
            <w:rStyle w:val="Hyperlink"/>
            <w:noProof/>
          </w:rPr>
          <w:t>2.2.5 Paraffin Embedded Vocal Fold Tissue Sectioning</w:t>
        </w:r>
        <w:r w:rsidR="00634E5C">
          <w:rPr>
            <w:noProof/>
            <w:webHidden/>
          </w:rPr>
          <w:tab/>
        </w:r>
        <w:r w:rsidR="00634E5C">
          <w:rPr>
            <w:noProof/>
            <w:webHidden/>
          </w:rPr>
          <w:fldChar w:fldCharType="begin"/>
        </w:r>
        <w:r w:rsidR="00634E5C">
          <w:rPr>
            <w:noProof/>
            <w:webHidden/>
          </w:rPr>
          <w:instrText xml:space="preserve"> PAGEREF _Toc88218535 \h </w:instrText>
        </w:r>
        <w:r w:rsidR="00634E5C">
          <w:rPr>
            <w:noProof/>
            <w:webHidden/>
          </w:rPr>
        </w:r>
        <w:r w:rsidR="00634E5C">
          <w:rPr>
            <w:noProof/>
            <w:webHidden/>
          </w:rPr>
          <w:fldChar w:fldCharType="separate"/>
        </w:r>
        <w:r w:rsidR="00CD04FC">
          <w:rPr>
            <w:noProof/>
            <w:webHidden/>
          </w:rPr>
          <w:t>42</w:t>
        </w:r>
        <w:r w:rsidR="00634E5C">
          <w:rPr>
            <w:noProof/>
            <w:webHidden/>
          </w:rPr>
          <w:fldChar w:fldCharType="end"/>
        </w:r>
      </w:hyperlink>
    </w:p>
    <w:p w14:paraId="37A416ED" w14:textId="5E021B64" w:rsidR="00634E5C" w:rsidRDefault="003729D1">
      <w:pPr>
        <w:pStyle w:val="TOC3"/>
        <w:rPr>
          <w:rFonts w:asciiTheme="minorHAnsi" w:eastAsiaTheme="minorEastAsia" w:hAnsiTheme="minorHAnsi" w:cstheme="minorBidi"/>
          <w:b w:val="0"/>
          <w:noProof/>
          <w:sz w:val="22"/>
          <w:szCs w:val="22"/>
          <w:lang w:eastAsia="zh-CN"/>
        </w:rPr>
      </w:pPr>
      <w:hyperlink w:anchor="_Toc88218536" w:history="1">
        <w:r w:rsidR="00634E5C" w:rsidRPr="00EA3A75">
          <w:rPr>
            <w:rStyle w:val="Hyperlink"/>
            <w:noProof/>
          </w:rPr>
          <w:t>2.2.6 Immunofluorescence Labeling</w:t>
        </w:r>
        <w:r w:rsidR="00634E5C">
          <w:rPr>
            <w:noProof/>
            <w:webHidden/>
          </w:rPr>
          <w:tab/>
        </w:r>
        <w:r w:rsidR="00634E5C">
          <w:rPr>
            <w:noProof/>
            <w:webHidden/>
          </w:rPr>
          <w:fldChar w:fldCharType="begin"/>
        </w:r>
        <w:r w:rsidR="00634E5C">
          <w:rPr>
            <w:noProof/>
            <w:webHidden/>
          </w:rPr>
          <w:instrText xml:space="preserve"> PAGEREF _Toc88218536 \h </w:instrText>
        </w:r>
        <w:r w:rsidR="00634E5C">
          <w:rPr>
            <w:noProof/>
            <w:webHidden/>
          </w:rPr>
        </w:r>
        <w:r w:rsidR="00634E5C">
          <w:rPr>
            <w:noProof/>
            <w:webHidden/>
          </w:rPr>
          <w:fldChar w:fldCharType="separate"/>
        </w:r>
        <w:r w:rsidR="00CD04FC">
          <w:rPr>
            <w:noProof/>
            <w:webHidden/>
          </w:rPr>
          <w:t>43</w:t>
        </w:r>
        <w:r w:rsidR="00634E5C">
          <w:rPr>
            <w:noProof/>
            <w:webHidden/>
          </w:rPr>
          <w:fldChar w:fldCharType="end"/>
        </w:r>
      </w:hyperlink>
    </w:p>
    <w:p w14:paraId="2D105E69" w14:textId="19A6C77E" w:rsidR="00634E5C" w:rsidRDefault="003729D1">
      <w:pPr>
        <w:pStyle w:val="TOC3"/>
        <w:rPr>
          <w:rFonts w:asciiTheme="minorHAnsi" w:eastAsiaTheme="minorEastAsia" w:hAnsiTheme="minorHAnsi" w:cstheme="minorBidi"/>
          <w:b w:val="0"/>
          <w:noProof/>
          <w:sz w:val="22"/>
          <w:szCs w:val="22"/>
          <w:lang w:eastAsia="zh-CN"/>
        </w:rPr>
      </w:pPr>
      <w:hyperlink w:anchor="_Toc88218537" w:history="1">
        <w:r w:rsidR="00634E5C" w:rsidRPr="00EA3A75">
          <w:rPr>
            <w:rStyle w:val="Hyperlink"/>
            <w:noProof/>
          </w:rPr>
          <w:t>2.2.7 Hematoxylin and Eosin Staining</w:t>
        </w:r>
        <w:r w:rsidR="00634E5C">
          <w:rPr>
            <w:noProof/>
            <w:webHidden/>
          </w:rPr>
          <w:tab/>
        </w:r>
        <w:r w:rsidR="00634E5C">
          <w:rPr>
            <w:noProof/>
            <w:webHidden/>
          </w:rPr>
          <w:fldChar w:fldCharType="begin"/>
        </w:r>
        <w:r w:rsidR="00634E5C">
          <w:rPr>
            <w:noProof/>
            <w:webHidden/>
          </w:rPr>
          <w:instrText xml:space="preserve"> PAGEREF _Toc88218537 \h </w:instrText>
        </w:r>
        <w:r w:rsidR="00634E5C">
          <w:rPr>
            <w:noProof/>
            <w:webHidden/>
          </w:rPr>
        </w:r>
        <w:r w:rsidR="00634E5C">
          <w:rPr>
            <w:noProof/>
            <w:webHidden/>
          </w:rPr>
          <w:fldChar w:fldCharType="separate"/>
        </w:r>
        <w:r w:rsidR="00CD04FC">
          <w:rPr>
            <w:noProof/>
            <w:webHidden/>
          </w:rPr>
          <w:t>44</w:t>
        </w:r>
        <w:r w:rsidR="00634E5C">
          <w:rPr>
            <w:noProof/>
            <w:webHidden/>
          </w:rPr>
          <w:fldChar w:fldCharType="end"/>
        </w:r>
      </w:hyperlink>
    </w:p>
    <w:p w14:paraId="6802B397" w14:textId="65931183" w:rsidR="00634E5C" w:rsidRDefault="003729D1">
      <w:pPr>
        <w:pStyle w:val="TOC3"/>
        <w:rPr>
          <w:rFonts w:asciiTheme="minorHAnsi" w:eastAsiaTheme="minorEastAsia" w:hAnsiTheme="minorHAnsi" w:cstheme="minorBidi"/>
          <w:b w:val="0"/>
          <w:noProof/>
          <w:sz w:val="22"/>
          <w:szCs w:val="22"/>
          <w:lang w:eastAsia="zh-CN"/>
        </w:rPr>
      </w:pPr>
      <w:hyperlink w:anchor="_Toc88218538" w:history="1">
        <w:r w:rsidR="00634E5C" w:rsidRPr="00EA3A75">
          <w:rPr>
            <w:rStyle w:val="Hyperlink"/>
            <w:noProof/>
          </w:rPr>
          <w:t>2.2.8 Image Acquisition</w:t>
        </w:r>
        <w:r w:rsidR="00634E5C">
          <w:rPr>
            <w:noProof/>
            <w:webHidden/>
          </w:rPr>
          <w:tab/>
        </w:r>
        <w:r w:rsidR="00634E5C">
          <w:rPr>
            <w:noProof/>
            <w:webHidden/>
          </w:rPr>
          <w:fldChar w:fldCharType="begin"/>
        </w:r>
        <w:r w:rsidR="00634E5C">
          <w:rPr>
            <w:noProof/>
            <w:webHidden/>
          </w:rPr>
          <w:instrText xml:space="preserve"> PAGEREF _Toc88218538 \h </w:instrText>
        </w:r>
        <w:r w:rsidR="00634E5C">
          <w:rPr>
            <w:noProof/>
            <w:webHidden/>
          </w:rPr>
        </w:r>
        <w:r w:rsidR="00634E5C">
          <w:rPr>
            <w:noProof/>
            <w:webHidden/>
          </w:rPr>
          <w:fldChar w:fldCharType="separate"/>
        </w:r>
        <w:r w:rsidR="00CD04FC">
          <w:rPr>
            <w:noProof/>
            <w:webHidden/>
          </w:rPr>
          <w:t>45</w:t>
        </w:r>
        <w:r w:rsidR="00634E5C">
          <w:rPr>
            <w:noProof/>
            <w:webHidden/>
          </w:rPr>
          <w:fldChar w:fldCharType="end"/>
        </w:r>
      </w:hyperlink>
    </w:p>
    <w:p w14:paraId="4AB092B4" w14:textId="4E53518D" w:rsidR="00634E5C" w:rsidRDefault="003729D1">
      <w:pPr>
        <w:pStyle w:val="TOC3"/>
        <w:rPr>
          <w:rFonts w:asciiTheme="minorHAnsi" w:eastAsiaTheme="minorEastAsia" w:hAnsiTheme="minorHAnsi" w:cstheme="minorBidi"/>
          <w:b w:val="0"/>
          <w:noProof/>
          <w:sz w:val="22"/>
          <w:szCs w:val="22"/>
          <w:lang w:eastAsia="zh-CN"/>
        </w:rPr>
      </w:pPr>
      <w:hyperlink w:anchor="_Toc88218539" w:history="1">
        <w:r w:rsidR="00634E5C" w:rsidRPr="00EA3A75">
          <w:rPr>
            <w:rStyle w:val="Hyperlink"/>
            <w:noProof/>
          </w:rPr>
          <w:t>2.2.9 Protein Localization Ratings</w:t>
        </w:r>
        <w:r w:rsidR="00634E5C">
          <w:rPr>
            <w:noProof/>
            <w:webHidden/>
          </w:rPr>
          <w:tab/>
        </w:r>
        <w:r w:rsidR="00634E5C">
          <w:rPr>
            <w:noProof/>
            <w:webHidden/>
          </w:rPr>
          <w:fldChar w:fldCharType="begin"/>
        </w:r>
        <w:r w:rsidR="00634E5C">
          <w:rPr>
            <w:noProof/>
            <w:webHidden/>
          </w:rPr>
          <w:instrText xml:space="preserve"> PAGEREF _Toc88218539 \h </w:instrText>
        </w:r>
        <w:r w:rsidR="00634E5C">
          <w:rPr>
            <w:noProof/>
            <w:webHidden/>
          </w:rPr>
        </w:r>
        <w:r w:rsidR="00634E5C">
          <w:rPr>
            <w:noProof/>
            <w:webHidden/>
          </w:rPr>
          <w:fldChar w:fldCharType="separate"/>
        </w:r>
        <w:r w:rsidR="00CD04FC">
          <w:rPr>
            <w:noProof/>
            <w:webHidden/>
          </w:rPr>
          <w:t>45</w:t>
        </w:r>
        <w:r w:rsidR="00634E5C">
          <w:rPr>
            <w:noProof/>
            <w:webHidden/>
          </w:rPr>
          <w:fldChar w:fldCharType="end"/>
        </w:r>
      </w:hyperlink>
    </w:p>
    <w:p w14:paraId="72F8DDFA" w14:textId="72FADE51" w:rsidR="00634E5C" w:rsidRDefault="003729D1">
      <w:pPr>
        <w:pStyle w:val="TOC3"/>
        <w:rPr>
          <w:rFonts w:asciiTheme="minorHAnsi" w:eastAsiaTheme="minorEastAsia" w:hAnsiTheme="minorHAnsi" w:cstheme="minorBidi"/>
          <w:b w:val="0"/>
          <w:noProof/>
          <w:sz w:val="22"/>
          <w:szCs w:val="22"/>
          <w:lang w:eastAsia="zh-CN"/>
        </w:rPr>
      </w:pPr>
      <w:hyperlink w:anchor="_Toc88218540" w:history="1">
        <w:r w:rsidR="00634E5C" w:rsidRPr="00EA3A75">
          <w:rPr>
            <w:rStyle w:val="Hyperlink"/>
            <w:noProof/>
          </w:rPr>
          <w:t>2.2.10 Fluorescence Quantification</w:t>
        </w:r>
        <w:r w:rsidR="00634E5C">
          <w:rPr>
            <w:noProof/>
            <w:webHidden/>
          </w:rPr>
          <w:tab/>
        </w:r>
        <w:r w:rsidR="00634E5C">
          <w:rPr>
            <w:noProof/>
            <w:webHidden/>
          </w:rPr>
          <w:fldChar w:fldCharType="begin"/>
        </w:r>
        <w:r w:rsidR="00634E5C">
          <w:rPr>
            <w:noProof/>
            <w:webHidden/>
          </w:rPr>
          <w:instrText xml:space="preserve"> PAGEREF _Toc88218540 \h </w:instrText>
        </w:r>
        <w:r w:rsidR="00634E5C">
          <w:rPr>
            <w:noProof/>
            <w:webHidden/>
          </w:rPr>
        </w:r>
        <w:r w:rsidR="00634E5C">
          <w:rPr>
            <w:noProof/>
            <w:webHidden/>
          </w:rPr>
          <w:fldChar w:fldCharType="separate"/>
        </w:r>
        <w:r w:rsidR="00CD04FC">
          <w:rPr>
            <w:noProof/>
            <w:webHidden/>
          </w:rPr>
          <w:t>45</w:t>
        </w:r>
        <w:r w:rsidR="00634E5C">
          <w:rPr>
            <w:noProof/>
            <w:webHidden/>
          </w:rPr>
          <w:fldChar w:fldCharType="end"/>
        </w:r>
      </w:hyperlink>
    </w:p>
    <w:p w14:paraId="5068B0D0" w14:textId="4D7975AF" w:rsidR="00634E5C" w:rsidRDefault="003729D1">
      <w:pPr>
        <w:pStyle w:val="TOC3"/>
        <w:rPr>
          <w:rFonts w:asciiTheme="minorHAnsi" w:eastAsiaTheme="minorEastAsia" w:hAnsiTheme="minorHAnsi" w:cstheme="minorBidi"/>
          <w:b w:val="0"/>
          <w:noProof/>
          <w:sz w:val="22"/>
          <w:szCs w:val="22"/>
          <w:lang w:eastAsia="zh-CN"/>
        </w:rPr>
      </w:pPr>
      <w:hyperlink w:anchor="_Toc88218541" w:history="1">
        <w:r w:rsidR="00634E5C" w:rsidRPr="00EA3A75">
          <w:rPr>
            <w:rStyle w:val="Hyperlink"/>
            <w:noProof/>
          </w:rPr>
          <w:t>2.2.11 Muscle Fiber Cross-sectional Area Quantification</w:t>
        </w:r>
        <w:r w:rsidR="00634E5C">
          <w:rPr>
            <w:noProof/>
            <w:webHidden/>
          </w:rPr>
          <w:tab/>
        </w:r>
        <w:r w:rsidR="00634E5C">
          <w:rPr>
            <w:noProof/>
            <w:webHidden/>
          </w:rPr>
          <w:fldChar w:fldCharType="begin"/>
        </w:r>
        <w:r w:rsidR="00634E5C">
          <w:rPr>
            <w:noProof/>
            <w:webHidden/>
          </w:rPr>
          <w:instrText xml:space="preserve"> PAGEREF _Toc88218541 \h </w:instrText>
        </w:r>
        <w:r w:rsidR="00634E5C">
          <w:rPr>
            <w:noProof/>
            <w:webHidden/>
          </w:rPr>
        </w:r>
        <w:r w:rsidR="00634E5C">
          <w:rPr>
            <w:noProof/>
            <w:webHidden/>
          </w:rPr>
          <w:fldChar w:fldCharType="separate"/>
        </w:r>
        <w:r w:rsidR="00CD04FC">
          <w:rPr>
            <w:noProof/>
            <w:webHidden/>
          </w:rPr>
          <w:t>46</w:t>
        </w:r>
        <w:r w:rsidR="00634E5C">
          <w:rPr>
            <w:noProof/>
            <w:webHidden/>
          </w:rPr>
          <w:fldChar w:fldCharType="end"/>
        </w:r>
      </w:hyperlink>
    </w:p>
    <w:p w14:paraId="5B53F21A" w14:textId="0F2F2012" w:rsidR="00634E5C" w:rsidRDefault="003729D1">
      <w:pPr>
        <w:pStyle w:val="TOC3"/>
        <w:rPr>
          <w:rFonts w:asciiTheme="minorHAnsi" w:eastAsiaTheme="minorEastAsia" w:hAnsiTheme="minorHAnsi" w:cstheme="minorBidi"/>
          <w:b w:val="0"/>
          <w:noProof/>
          <w:sz w:val="22"/>
          <w:szCs w:val="22"/>
          <w:lang w:eastAsia="zh-CN"/>
        </w:rPr>
      </w:pPr>
      <w:hyperlink w:anchor="_Toc88218542" w:history="1">
        <w:r w:rsidR="00634E5C" w:rsidRPr="00EA3A75">
          <w:rPr>
            <w:rStyle w:val="Hyperlink"/>
            <w:noProof/>
          </w:rPr>
          <w:t>2.2.12 Quantitative Polymerase Chain Reaction Primer and Probe Design</w:t>
        </w:r>
        <w:r w:rsidR="00634E5C">
          <w:rPr>
            <w:noProof/>
            <w:webHidden/>
          </w:rPr>
          <w:tab/>
        </w:r>
        <w:r w:rsidR="00634E5C">
          <w:rPr>
            <w:noProof/>
            <w:webHidden/>
          </w:rPr>
          <w:fldChar w:fldCharType="begin"/>
        </w:r>
        <w:r w:rsidR="00634E5C">
          <w:rPr>
            <w:noProof/>
            <w:webHidden/>
          </w:rPr>
          <w:instrText xml:space="preserve"> PAGEREF _Toc88218542 \h </w:instrText>
        </w:r>
        <w:r w:rsidR="00634E5C">
          <w:rPr>
            <w:noProof/>
            <w:webHidden/>
          </w:rPr>
        </w:r>
        <w:r w:rsidR="00634E5C">
          <w:rPr>
            <w:noProof/>
            <w:webHidden/>
          </w:rPr>
          <w:fldChar w:fldCharType="separate"/>
        </w:r>
        <w:r w:rsidR="00CD04FC">
          <w:rPr>
            <w:noProof/>
            <w:webHidden/>
          </w:rPr>
          <w:t>46</w:t>
        </w:r>
        <w:r w:rsidR="00634E5C">
          <w:rPr>
            <w:noProof/>
            <w:webHidden/>
          </w:rPr>
          <w:fldChar w:fldCharType="end"/>
        </w:r>
      </w:hyperlink>
    </w:p>
    <w:p w14:paraId="3E7BC7C8" w14:textId="5285D54D" w:rsidR="00634E5C" w:rsidRDefault="003729D1">
      <w:pPr>
        <w:pStyle w:val="TOC3"/>
        <w:rPr>
          <w:rFonts w:asciiTheme="minorHAnsi" w:eastAsiaTheme="minorEastAsia" w:hAnsiTheme="minorHAnsi" w:cstheme="minorBidi"/>
          <w:b w:val="0"/>
          <w:noProof/>
          <w:sz w:val="22"/>
          <w:szCs w:val="22"/>
          <w:lang w:eastAsia="zh-CN"/>
        </w:rPr>
      </w:pPr>
      <w:hyperlink w:anchor="_Toc88218543" w:history="1">
        <w:r w:rsidR="00634E5C" w:rsidRPr="00EA3A75">
          <w:rPr>
            <w:rStyle w:val="Hyperlink"/>
            <w:noProof/>
          </w:rPr>
          <w:t>2.2.13 Electrophoresis</w:t>
        </w:r>
        <w:r w:rsidR="00634E5C">
          <w:rPr>
            <w:noProof/>
            <w:webHidden/>
          </w:rPr>
          <w:tab/>
        </w:r>
        <w:r w:rsidR="00634E5C">
          <w:rPr>
            <w:noProof/>
            <w:webHidden/>
          </w:rPr>
          <w:fldChar w:fldCharType="begin"/>
        </w:r>
        <w:r w:rsidR="00634E5C">
          <w:rPr>
            <w:noProof/>
            <w:webHidden/>
          </w:rPr>
          <w:instrText xml:space="preserve"> PAGEREF _Toc88218543 \h </w:instrText>
        </w:r>
        <w:r w:rsidR="00634E5C">
          <w:rPr>
            <w:noProof/>
            <w:webHidden/>
          </w:rPr>
        </w:r>
        <w:r w:rsidR="00634E5C">
          <w:rPr>
            <w:noProof/>
            <w:webHidden/>
          </w:rPr>
          <w:fldChar w:fldCharType="separate"/>
        </w:r>
        <w:r w:rsidR="00CD04FC">
          <w:rPr>
            <w:noProof/>
            <w:webHidden/>
          </w:rPr>
          <w:t>47</w:t>
        </w:r>
        <w:r w:rsidR="00634E5C">
          <w:rPr>
            <w:noProof/>
            <w:webHidden/>
          </w:rPr>
          <w:fldChar w:fldCharType="end"/>
        </w:r>
      </w:hyperlink>
    </w:p>
    <w:p w14:paraId="2DAC128F" w14:textId="176541D9" w:rsidR="00634E5C" w:rsidRDefault="003729D1">
      <w:pPr>
        <w:pStyle w:val="TOC3"/>
        <w:rPr>
          <w:rFonts w:asciiTheme="minorHAnsi" w:eastAsiaTheme="minorEastAsia" w:hAnsiTheme="minorHAnsi" w:cstheme="minorBidi"/>
          <w:b w:val="0"/>
          <w:noProof/>
          <w:sz w:val="22"/>
          <w:szCs w:val="22"/>
          <w:lang w:eastAsia="zh-CN"/>
        </w:rPr>
      </w:pPr>
      <w:hyperlink w:anchor="_Toc88218544" w:history="1">
        <w:r w:rsidR="00634E5C" w:rsidRPr="00EA3A75">
          <w:rPr>
            <w:rStyle w:val="Hyperlink"/>
            <w:noProof/>
          </w:rPr>
          <w:t>2.2.14 Standard Curve</w:t>
        </w:r>
        <w:r w:rsidR="00634E5C">
          <w:rPr>
            <w:noProof/>
            <w:webHidden/>
          </w:rPr>
          <w:tab/>
        </w:r>
        <w:r w:rsidR="00634E5C">
          <w:rPr>
            <w:noProof/>
            <w:webHidden/>
          </w:rPr>
          <w:fldChar w:fldCharType="begin"/>
        </w:r>
        <w:r w:rsidR="00634E5C">
          <w:rPr>
            <w:noProof/>
            <w:webHidden/>
          </w:rPr>
          <w:instrText xml:space="preserve"> PAGEREF _Toc88218544 \h </w:instrText>
        </w:r>
        <w:r w:rsidR="00634E5C">
          <w:rPr>
            <w:noProof/>
            <w:webHidden/>
          </w:rPr>
        </w:r>
        <w:r w:rsidR="00634E5C">
          <w:rPr>
            <w:noProof/>
            <w:webHidden/>
          </w:rPr>
          <w:fldChar w:fldCharType="separate"/>
        </w:r>
        <w:r w:rsidR="00CD04FC">
          <w:rPr>
            <w:noProof/>
            <w:webHidden/>
          </w:rPr>
          <w:t>47</w:t>
        </w:r>
        <w:r w:rsidR="00634E5C">
          <w:rPr>
            <w:noProof/>
            <w:webHidden/>
          </w:rPr>
          <w:fldChar w:fldCharType="end"/>
        </w:r>
      </w:hyperlink>
    </w:p>
    <w:p w14:paraId="3D50B5B1" w14:textId="5083BBA9" w:rsidR="00634E5C" w:rsidRDefault="003729D1">
      <w:pPr>
        <w:pStyle w:val="TOC3"/>
        <w:rPr>
          <w:rFonts w:asciiTheme="minorHAnsi" w:eastAsiaTheme="minorEastAsia" w:hAnsiTheme="minorHAnsi" w:cstheme="minorBidi"/>
          <w:b w:val="0"/>
          <w:noProof/>
          <w:sz w:val="22"/>
          <w:szCs w:val="22"/>
          <w:lang w:eastAsia="zh-CN"/>
        </w:rPr>
      </w:pPr>
      <w:hyperlink w:anchor="_Toc88218545" w:history="1">
        <w:r w:rsidR="00634E5C" w:rsidRPr="00EA3A75">
          <w:rPr>
            <w:rStyle w:val="Hyperlink"/>
            <w:noProof/>
          </w:rPr>
          <w:t>2.2.15 RNA Extraction</w:t>
        </w:r>
        <w:r w:rsidR="00634E5C">
          <w:rPr>
            <w:noProof/>
            <w:webHidden/>
          </w:rPr>
          <w:tab/>
        </w:r>
        <w:r w:rsidR="00634E5C">
          <w:rPr>
            <w:noProof/>
            <w:webHidden/>
          </w:rPr>
          <w:fldChar w:fldCharType="begin"/>
        </w:r>
        <w:r w:rsidR="00634E5C">
          <w:rPr>
            <w:noProof/>
            <w:webHidden/>
          </w:rPr>
          <w:instrText xml:space="preserve"> PAGEREF _Toc88218545 \h </w:instrText>
        </w:r>
        <w:r w:rsidR="00634E5C">
          <w:rPr>
            <w:noProof/>
            <w:webHidden/>
          </w:rPr>
        </w:r>
        <w:r w:rsidR="00634E5C">
          <w:rPr>
            <w:noProof/>
            <w:webHidden/>
          </w:rPr>
          <w:fldChar w:fldCharType="separate"/>
        </w:r>
        <w:r w:rsidR="00CD04FC">
          <w:rPr>
            <w:noProof/>
            <w:webHidden/>
          </w:rPr>
          <w:t>48</w:t>
        </w:r>
        <w:r w:rsidR="00634E5C">
          <w:rPr>
            <w:noProof/>
            <w:webHidden/>
          </w:rPr>
          <w:fldChar w:fldCharType="end"/>
        </w:r>
      </w:hyperlink>
    </w:p>
    <w:p w14:paraId="5C57148D" w14:textId="239453A3" w:rsidR="00634E5C" w:rsidRDefault="003729D1">
      <w:pPr>
        <w:pStyle w:val="TOC3"/>
        <w:rPr>
          <w:rFonts w:asciiTheme="minorHAnsi" w:eastAsiaTheme="minorEastAsia" w:hAnsiTheme="minorHAnsi" w:cstheme="minorBidi"/>
          <w:b w:val="0"/>
          <w:noProof/>
          <w:sz w:val="22"/>
          <w:szCs w:val="22"/>
          <w:lang w:eastAsia="zh-CN"/>
        </w:rPr>
      </w:pPr>
      <w:hyperlink w:anchor="_Toc88218546" w:history="1">
        <w:r w:rsidR="00634E5C" w:rsidRPr="00EA3A75">
          <w:rPr>
            <w:rStyle w:val="Hyperlink"/>
            <w:noProof/>
          </w:rPr>
          <w:t>2.2.16 Reverse Transcription</w:t>
        </w:r>
        <w:r w:rsidR="00634E5C">
          <w:rPr>
            <w:noProof/>
            <w:webHidden/>
          </w:rPr>
          <w:tab/>
        </w:r>
        <w:r w:rsidR="00634E5C">
          <w:rPr>
            <w:noProof/>
            <w:webHidden/>
          </w:rPr>
          <w:fldChar w:fldCharType="begin"/>
        </w:r>
        <w:r w:rsidR="00634E5C">
          <w:rPr>
            <w:noProof/>
            <w:webHidden/>
          </w:rPr>
          <w:instrText xml:space="preserve"> PAGEREF _Toc88218546 \h </w:instrText>
        </w:r>
        <w:r w:rsidR="00634E5C">
          <w:rPr>
            <w:noProof/>
            <w:webHidden/>
          </w:rPr>
        </w:r>
        <w:r w:rsidR="00634E5C">
          <w:rPr>
            <w:noProof/>
            <w:webHidden/>
          </w:rPr>
          <w:fldChar w:fldCharType="separate"/>
        </w:r>
        <w:r w:rsidR="00CD04FC">
          <w:rPr>
            <w:noProof/>
            <w:webHidden/>
          </w:rPr>
          <w:t>48</w:t>
        </w:r>
        <w:r w:rsidR="00634E5C">
          <w:rPr>
            <w:noProof/>
            <w:webHidden/>
          </w:rPr>
          <w:fldChar w:fldCharType="end"/>
        </w:r>
      </w:hyperlink>
    </w:p>
    <w:p w14:paraId="13BC497B" w14:textId="5D502739" w:rsidR="00634E5C" w:rsidRDefault="003729D1">
      <w:pPr>
        <w:pStyle w:val="TOC3"/>
        <w:rPr>
          <w:rFonts w:asciiTheme="minorHAnsi" w:eastAsiaTheme="minorEastAsia" w:hAnsiTheme="minorHAnsi" w:cstheme="minorBidi"/>
          <w:b w:val="0"/>
          <w:noProof/>
          <w:sz w:val="22"/>
          <w:szCs w:val="22"/>
          <w:lang w:eastAsia="zh-CN"/>
        </w:rPr>
      </w:pPr>
      <w:hyperlink w:anchor="_Toc88218547" w:history="1">
        <w:r w:rsidR="00634E5C" w:rsidRPr="00EA3A75">
          <w:rPr>
            <w:rStyle w:val="Hyperlink"/>
            <w:noProof/>
          </w:rPr>
          <w:t>2.2.17 Quantitative Polymerase Chain Reaction</w:t>
        </w:r>
        <w:r w:rsidR="00634E5C">
          <w:rPr>
            <w:noProof/>
            <w:webHidden/>
          </w:rPr>
          <w:tab/>
        </w:r>
        <w:r w:rsidR="00634E5C">
          <w:rPr>
            <w:noProof/>
            <w:webHidden/>
          </w:rPr>
          <w:fldChar w:fldCharType="begin"/>
        </w:r>
        <w:r w:rsidR="00634E5C">
          <w:rPr>
            <w:noProof/>
            <w:webHidden/>
          </w:rPr>
          <w:instrText xml:space="preserve"> PAGEREF _Toc88218547 \h </w:instrText>
        </w:r>
        <w:r w:rsidR="00634E5C">
          <w:rPr>
            <w:noProof/>
            <w:webHidden/>
          </w:rPr>
        </w:r>
        <w:r w:rsidR="00634E5C">
          <w:rPr>
            <w:noProof/>
            <w:webHidden/>
          </w:rPr>
          <w:fldChar w:fldCharType="separate"/>
        </w:r>
        <w:r w:rsidR="00CD04FC">
          <w:rPr>
            <w:noProof/>
            <w:webHidden/>
          </w:rPr>
          <w:t>48</w:t>
        </w:r>
        <w:r w:rsidR="00634E5C">
          <w:rPr>
            <w:noProof/>
            <w:webHidden/>
          </w:rPr>
          <w:fldChar w:fldCharType="end"/>
        </w:r>
      </w:hyperlink>
    </w:p>
    <w:p w14:paraId="395BA882" w14:textId="2A89A7BD" w:rsidR="00634E5C" w:rsidRDefault="003729D1">
      <w:pPr>
        <w:pStyle w:val="TOC1"/>
        <w:rPr>
          <w:rFonts w:asciiTheme="minorHAnsi" w:eastAsiaTheme="minorEastAsia" w:hAnsiTheme="minorHAnsi" w:cstheme="minorBidi"/>
          <w:b w:val="0"/>
          <w:noProof/>
          <w:sz w:val="22"/>
          <w:szCs w:val="22"/>
          <w:lang w:eastAsia="zh-CN"/>
        </w:rPr>
      </w:pPr>
      <w:hyperlink w:anchor="_Toc88218548" w:history="1">
        <w:r w:rsidR="00634E5C" w:rsidRPr="00EA3A75">
          <w:rPr>
            <w:rStyle w:val="Hyperlink"/>
            <w:noProof/>
          </w:rPr>
          <w:t>3.0 Results</w:t>
        </w:r>
        <w:r w:rsidR="00634E5C">
          <w:rPr>
            <w:noProof/>
            <w:webHidden/>
          </w:rPr>
          <w:tab/>
        </w:r>
        <w:r w:rsidR="00634E5C">
          <w:rPr>
            <w:noProof/>
            <w:webHidden/>
          </w:rPr>
          <w:fldChar w:fldCharType="begin"/>
        </w:r>
        <w:r w:rsidR="00634E5C">
          <w:rPr>
            <w:noProof/>
            <w:webHidden/>
          </w:rPr>
          <w:instrText xml:space="preserve"> PAGEREF _Toc88218548 \h </w:instrText>
        </w:r>
        <w:r w:rsidR="00634E5C">
          <w:rPr>
            <w:noProof/>
            <w:webHidden/>
          </w:rPr>
        </w:r>
        <w:r w:rsidR="00634E5C">
          <w:rPr>
            <w:noProof/>
            <w:webHidden/>
          </w:rPr>
          <w:fldChar w:fldCharType="separate"/>
        </w:r>
        <w:r w:rsidR="00CD04FC">
          <w:rPr>
            <w:noProof/>
            <w:webHidden/>
          </w:rPr>
          <w:t>51</w:t>
        </w:r>
        <w:r w:rsidR="00634E5C">
          <w:rPr>
            <w:noProof/>
            <w:webHidden/>
          </w:rPr>
          <w:fldChar w:fldCharType="end"/>
        </w:r>
      </w:hyperlink>
    </w:p>
    <w:p w14:paraId="0C5C5F3E" w14:textId="30840EA5" w:rsidR="00634E5C" w:rsidRDefault="003729D1">
      <w:pPr>
        <w:pStyle w:val="TOC2"/>
        <w:rPr>
          <w:rFonts w:asciiTheme="minorHAnsi" w:eastAsiaTheme="minorEastAsia" w:hAnsiTheme="minorHAnsi" w:cstheme="minorBidi"/>
          <w:b w:val="0"/>
          <w:noProof/>
          <w:sz w:val="22"/>
          <w:szCs w:val="22"/>
          <w:lang w:eastAsia="zh-CN"/>
        </w:rPr>
      </w:pPr>
      <w:hyperlink w:anchor="_Toc88218549" w:history="1">
        <w:r w:rsidR="00634E5C" w:rsidRPr="00EA3A75">
          <w:rPr>
            <w:rStyle w:val="Hyperlink"/>
            <w:noProof/>
          </w:rPr>
          <w:t>3.1 Localization of Integral Membrane Proteins in Human and Rabbit Vocal Folds</w:t>
        </w:r>
        <w:r w:rsidR="00634E5C">
          <w:rPr>
            <w:noProof/>
            <w:webHidden/>
          </w:rPr>
          <w:tab/>
        </w:r>
        <w:r w:rsidR="00634E5C">
          <w:rPr>
            <w:noProof/>
            <w:webHidden/>
          </w:rPr>
          <w:fldChar w:fldCharType="begin"/>
        </w:r>
        <w:r w:rsidR="00634E5C">
          <w:rPr>
            <w:noProof/>
            <w:webHidden/>
          </w:rPr>
          <w:instrText xml:space="preserve"> PAGEREF _Toc88218549 \h </w:instrText>
        </w:r>
        <w:r w:rsidR="00634E5C">
          <w:rPr>
            <w:noProof/>
            <w:webHidden/>
          </w:rPr>
        </w:r>
        <w:r w:rsidR="00634E5C">
          <w:rPr>
            <w:noProof/>
            <w:webHidden/>
          </w:rPr>
          <w:fldChar w:fldCharType="separate"/>
        </w:r>
        <w:r w:rsidR="00CD04FC">
          <w:rPr>
            <w:noProof/>
            <w:webHidden/>
          </w:rPr>
          <w:t>52</w:t>
        </w:r>
        <w:r w:rsidR="00634E5C">
          <w:rPr>
            <w:noProof/>
            <w:webHidden/>
          </w:rPr>
          <w:fldChar w:fldCharType="end"/>
        </w:r>
      </w:hyperlink>
    </w:p>
    <w:p w14:paraId="4EBE8319" w14:textId="122CC067" w:rsidR="00634E5C" w:rsidRDefault="003729D1">
      <w:pPr>
        <w:pStyle w:val="TOC3"/>
        <w:rPr>
          <w:rFonts w:asciiTheme="minorHAnsi" w:eastAsiaTheme="minorEastAsia" w:hAnsiTheme="minorHAnsi" w:cstheme="minorBidi"/>
          <w:b w:val="0"/>
          <w:noProof/>
          <w:sz w:val="22"/>
          <w:szCs w:val="22"/>
          <w:lang w:eastAsia="zh-CN"/>
        </w:rPr>
      </w:pPr>
      <w:hyperlink w:anchor="_Toc88218550" w:history="1">
        <w:r w:rsidR="00634E5C" w:rsidRPr="00EA3A75">
          <w:rPr>
            <w:rStyle w:val="Hyperlink"/>
            <w:noProof/>
          </w:rPr>
          <w:t>3.1.1 Aquaporin 1</w:t>
        </w:r>
        <w:r w:rsidR="00634E5C">
          <w:rPr>
            <w:noProof/>
            <w:webHidden/>
          </w:rPr>
          <w:tab/>
        </w:r>
        <w:r w:rsidR="00634E5C">
          <w:rPr>
            <w:noProof/>
            <w:webHidden/>
          </w:rPr>
          <w:fldChar w:fldCharType="begin"/>
        </w:r>
        <w:r w:rsidR="00634E5C">
          <w:rPr>
            <w:noProof/>
            <w:webHidden/>
          </w:rPr>
          <w:instrText xml:space="preserve"> PAGEREF _Toc88218550 \h </w:instrText>
        </w:r>
        <w:r w:rsidR="00634E5C">
          <w:rPr>
            <w:noProof/>
            <w:webHidden/>
          </w:rPr>
        </w:r>
        <w:r w:rsidR="00634E5C">
          <w:rPr>
            <w:noProof/>
            <w:webHidden/>
          </w:rPr>
          <w:fldChar w:fldCharType="separate"/>
        </w:r>
        <w:r w:rsidR="00CD04FC">
          <w:rPr>
            <w:noProof/>
            <w:webHidden/>
          </w:rPr>
          <w:t>52</w:t>
        </w:r>
        <w:r w:rsidR="00634E5C">
          <w:rPr>
            <w:noProof/>
            <w:webHidden/>
          </w:rPr>
          <w:fldChar w:fldCharType="end"/>
        </w:r>
      </w:hyperlink>
    </w:p>
    <w:p w14:paraId="7DB82B0C" w14:textId="314D71BE" w:rsidR="00634E5C" w:rsidRDefault="003729D1">
      <w:pPr>
        <w:pStyle w:val="TOC3"/>
        <w:rPr>
          <w:rFonts w:asciiTheme="minorHAnsi" w:eastAsiaTheme="minorEastAsia" w:hAnsiTheme="minorHAnsi" w:cstheme="minorBidi"/>
          <w:b w:val="0"/>
          <w:noProof/>
          <w:sz w:val="22"/>
          <w:szCs w:val="22"/>
          <w:lang w:eastAsia="zh-CN"/>
        </w:rPr>
      </w:pPr>
      <w:hyperlink w:anchor="_Toc88218551" w:history="1">
        <w:r w:rsidR="00634E5C" w:rsidRPr="00EA3A75">
          <w:rPr>
            <w:rStyle w:val="Hyperlink"/>
            <w:noProof/>
          </w:rPr>
          <w:t>3.1.2 Aquaporin 4</w:t>
        </w:r>
        <w:r w:rsidR="00634E5C">
          <w:rPr>
            <w:noProof/>
            <w:webHidden/>
          </w:rPr>
          <w:tab/>
        </w:r>
        <w:r w:rsidR="00634E5C">
          <w:rPr>
            <w:noProof/>
            <w:webHidden/>
          </w:rPr>
          <w:fldChar w:fldCharType="begin"/>
        </w:r>
        <w:r w:rsidR="00634E5C">
          <w:rPr>
            <w:noProof/>
            <w:webHidden/>
          </w:rPr>
          <w:instrText xml:space="preserve"> PAGEREF _Toc88218551 \h </w:instrText>
        </w:r>
        <w:r w:rsidR="00634E5C">
          <w:rPr>
            <w:noProof/>
            <w:webHidden/>
          </w:rPr>
        </w:r>
        <w:r w:rsidR="00634E5C">
          <w:rPr>
            <w:noProof/>
            <w:webHidden/>
          </w:rPr>
          <w:fldChar w:fldCharType="separate"/>
        </w:r>
        <w:r w:rsidR="00CD04FC">
          <w:rPr>
            <w:noProof/>
            <w:webHidden/>
          </w:rPr>
          <w:t>52</w:t>
        </w:r>
        <w:r w:rsidR="00634E5C">
          <w:rPr>
            <w:noProof/>
            <w:webHidden/>
          </w:rPr>
          <w:fldChar w:fldCharType="end"/>
        </w:r>
      </w:hyperlink>
    </w:p>
    <w:p w14:paraId="1D586AD1" w14:textId="4B278383" w:rsidR="00634E5C" w:rsidRDefault="003729D1">
      <w:pPr>
        <w:pStyle w:val="TOC3"/>
        <w:rPr>
          <w:rFonts w:asciiTheme="minorHAnsi" w:eastAsiaTheme="minorEastAsia" w:hAnsiTheme="minorHAnsi" w:cstheme="minorBidi"/>
          <w:b w:val="0"/>
          <w:noProof/>
          <w:sz w:val="22"/>
          <w:szCs w:val="22"/>
          <w:lang w:eastAsia="zh-CN"/>
        </w:rPr>
      </w:pPr>
      <w:hyperlink w:anchor="_Toc88218552" w:history="1">
        <w:r w:rsidR="00634E5C" w:rsidRPr="00EA3A75">
          <w:rPr>
            <w:rStyle w:val="Hyperlink"/>
            <w:noProof/>
          </w:rPr>
          <w:t>3.1.3 Aquaporin 7</w:t>
        </w:r>
        <w:r w:rsidR="00634E5C">
          <w:rPr>
            <w:noProof/>
            <w:webHidden/>
          </w:rPr>
          <w:tab/>
        </w:r>
        <w:r w:rsidR="00634E5C">
          <w:rPr>
            <w:noProof/>
            <w:webHidden/>
          </w:rPr>
          <w:fldChar w:fldCharType="begin"/>
        </w:r>
        <w:r w:rsidR="00634E5C">
          <w:rPr>
            <w:noProof/>
            <w:webHidden/>
          </w:rPr>
          <w:instrText xml:space="preserve"> PAGEREF _Toc88218552 \h </w:instrText>
        </w:r>
        <w:r w:rsidR="00634E5C">
          <w:rPr>
            <w:noProof/>
            <w:webHidden/>
          </w:rPr>
        </w:r>
        <w:r w:rsidR="00634E5C">
          <w:rPr>
            <w:noProof/>
            <w:webHidden/>
          </w:rPr>
          <w:fldChar w:fldCharType="separate"/>
        </w:r>
        <w:r w:rsidR="00CD04FC">
          <w:rPr>
            <w:noProof/>
            <w:webHidden/>
          </w:rPr>
          <w:t>53</w:t>
        </w:r>
        <w:r w:rsidR="00634E5C">
          <w:rPr>
            <w:noProof/>
            <w:webHidden/>
          </w:rPr>
          <w:fldChar w:fldCharType="end"/>
        </w:r>
      </w:hyperlink>
    </w:p>
    <w:p w14:paraId="6406865A" w14:textId="3167BFF7" w:rsidR="00634E5C" w:rsidRDefault="003729D1">
      <w:pPr>
        <w:pStyle w:val="TOC3"/>
        <w:rPr>
          <w:rFonts w:asciiTheme="minorHAnsi" w:eastAsiaTheme="minorEastAsia" w:hAnsiTheme="minorHAnsi" w:cstheme="minorBidi"/>
          <w:b w:val="0"/>
          <w:noProof/>
          <w:sz w:val="22"/>
          <w:szCs w:val="22"/>
          <w:lang w:eastAsia="zh-CN"/>
        </w:rPr>
      </w:pPr>
      <w:hyperlink w:anchor="_Toc88218553" w:history="1">
        <w:r w:rsidR="00634E5C" w:rsidRPr="00EA3A75">
          <w:rPr>
            <w:rStyle w:val="Hyperlink"/>
            <w:noProof/>
          </w:rPr>
          <w:t>3.1.4 Sodium-potassium Adenosine Triphosphatase</w:t>
        </w:r>
        <w:r w:rsidR="00634E5C">
          <w:rPr>
            <w:noProof/>
            <w:webHidden/>
          </w:rPr>
          <w:tab/>
        </w:r>
        <w:r w:rsidR="00634E5C">
          <w:rPr>
            <w:noProof/>
            <w:webHidden/>
          </w:rPr>
          <w:fldChar w:fldCharType="begin"/>
        </w:r>
        <w:r w:rsidR="00634E5C">
          <w:rPr>
            <w:noProof/>
            <w:webHidden/>
          </w:rPr>
          <w:instrText xml:space="preserve"> PAGEREF _Toc88218553 \h </w:instrText>
        </w:r>
        <w:r w:rsidR="00634E5C">
          <w:rPr>
            <w:noProof/>
            <w:webHidden/>
          </w:rPr>
        </w:r>
        <w:r w:rsidR="00634E5C">
          <w:rPr>
            <w:noProof/>
            <w:webHidden/>
          </w:rPr>
          <w:fldChar w:fldCharType="separate"/>
        </w:r>
        <w:r w:rsidR="00CD04FC">
          <w:rPr>
            <w:noProof/>
            <w:webHidden/>
          </w:rPr>
          <w:t>54</w:t>
        </w:r>
        <w:r w:rsidR="00634E5C">
          <w:rPr>
            <w:noProof/>
            <w:webHidden/>
          </w:rPr>
          <w:fldChar w:fldCharType="end"/>
        </w:r>
      </w:hyperlink>
    </w:p>
    <w:p w14:paraId="695D0DE6" w14:textId="475D8903" w:rsidR="00634E5C" w:rsidRDefault="003729D1">
      <w:pPr>
        <w:pStyle w:val="TOC3"/>
        <w:rPr>
          <w:rFonts w:asciiTheme="minorHAnsi" w:eastAsiaTheme="minorEastAsia" w:hAnsiTheme="minorHAnsi" w:cstheme="minorBidi"/>
          <w:b w:val="0"/>
          <w:noProof/>
          <w:sz w:val="22"/>
          <w:szCs w:val="22"/>
          <w:lang w:eastAsia="zh-CN"/>
        </w:rPr>
      </w:pPr>
      <w:hyperlink w:anchor="_Toc88218554" w:history="1">
        <w:r w:rsidR="00634E5C" w:rsidRPr="00EA3A75">
          <w:rPr>
            <w:rStyle w:val="Hyperlink"/>
            <w:noProof/>
          </w:rPr>
          <w:t>3.1.5 E-cadherin</w:t>
        </w:r>
        <w:r w:rsidR="00634E5C">
          <w:rPr>
            <w:noProof/>
            <w:webHidden/>
          </w:rPr>
          <w:tab/>
        </w:r>
        <w:r w:rsidR="00634E5C">
          <w:rPr>
            <w:noProof/>
            <w:webHidden/>
          </w:rPr>
          <w:fldChar w:fldCharType="begin"/>
        </w:r>
        <w:r w:rsidR="00634E5C">
          <w:rPr>
            <w:noProof/>
            <w:webHidden/>
          </w:rPr>
          <w:instrText xml:space="preserve"> PAGEREF _Toc88218554 \h </w:instrText>
        </w:r>
        <w:r w:rsidR="00634E5C">
          <w:rPr>
            <w:noProof/>
            <w:webHidden/>
          </w:rPr>
        </w:r>
        <w:r w:rsidR="00634E5C">
          <w:rPr>
            <w:noProof/>
            <w:webHidden/>
          </w:rPr>
          <w:fldChar w:fldCharType="separate"/>
        </w:r>
        <w:r w:rsidR="00CD04FC">
          <w:rPr>
            <w:noProof/>
            <w:webHidden/>
          </w:rPr>
          <w:t>55</w:t>
        </w:r>
        <w:r w:rsidR="00634E5C">
          <w:rPr>
            <w:noProof/>
            <w:webHidden/>
          </w:rPr>
          <w:fldChar w:fldCharType="end"/>
        </w:r>
      </w:hyperlink>
    </w:p>
    <w:p w14:paraId="31EB1D47" w14:textId="3580ED88" w:rsidR="00634E5C" w:rsidRDefault="003729D1">
      <w:pPr>
        <w:pStyle w:val="TOC3"/>
        <w:rPr>
          <w:rFonts w:asciiTheme="minorHAnsi" w:eastAsiaTheme="minorEastAsia" w:hAnsiTheme="minorHAnsi" w:cstheme="minorBidi"/>
          <w:b w:val="0"/>
          <w:noProof/>
          <w:sz w:val="22"/>
          <w:szCs w:val="22"/>
          <w:lang w:eastAsia="zh-CN"/>
        </w:rPr>
      </w:pPr>
      <w:hyperlink w:anchor="_Toc88218555" w:history="1">
        <w:r w:rsidR="00634E5C" w:rsidRPr="00EA3A75">
          <w:rPr>
            <w:rStyle w:val="Hyperlink"/>
            <w:noProof/>
          </w:rPr>
          <w:t>3.1.6 Occludin</w:t>
        </w:r>
        <w:r w:rsidR="00634E5C">
          <w:rPr>
            <w:noProof/>
            <w:webHidden/>
          </w:rPr>
          <w:tab/>
        </w:r>
        <w:r w:rsidR="00634E5C">
          <w:rPr>
            <w:noProof/>
            <w:webHidden/>
          </w:rPr>
          <w:fldChar w:fldCharType="begin"/>
        </w:r>
        <w:r w:rsidR="00634E5C">
          <w:rPr>
            <w:noProof/>
            <w:webHidden/>
          </w:rPr>
          <w:instrText xml:space="preserve"> PAGEREF _Toc88218555 \h </w:instrText>
        </w:r>
        <w:r w:rsidR="00634E5C">
          <w:rPr>
            <w:noProof/>
            <w:webHidden/>
          </w:rPr>
        </w:r>
        <w:r w:rsidR="00634E5C">
          <w:rPr>
            <w:noProof/>
            <w:webHidden/>
          </w:rPr>
          <w:fldChar w:fldCharType="separate"/>
        </w:r>
        <w:r w:rsidR="00CD04FC">
          <w:rPr>
            <w:noProof/>
            <w:webHidden/>
          </w:rPr>
          <w:t>56</w:t>
        </w:r>
        <w:r w:rsidR="00634E5C">
          <w:rPr>
            <w:noProof/>
            <w:webHidden/>
          </w:rPr>
          <w:fldChar w:fldCharType="end"/>
        </w:r>
      </w:hyperlink>
    </w:p>
    <w:p w14:paraId="23CEF5C6" w14:textId="670CDE5A" w:rsidR="00634E5C" w:rsidRDefault="003729D1">
      <w:pPr>
        <w:pStyle w:val="TOC3"/>
        <w:rPr>
          <w:rFonts w:asciiTheme="minorHAnsi" w:eastAsiaTheme="minorEastAsia" w:hAnsiTheme="minorHAnsi" w:cstheme="minorBidi"/>
          <w:b w:val="0"/>
          <w:noProof/>
          <w:sz w:val="22"/>
          <w:szCs w:val="22"/>
          <w:lang w:eastAsia="zh-CN"/>
        </w:rPr>
      </w:pPr>
      <w:hyperlink w:anchor="_Toc88218556" w:history="1">
        <w:r w:rsidR="00634E5C" w:rsidRPr="00EA3A75">
          <w:rPr>
            <w:rStyle w:val="Hyperlink"/>
            <w:noProof/>
          </w:rPr>
          <w:t>3.1.7 Zonula Occludin-1</w:t>
        </w:r>
        <w:r w:rsidR="00634E5C">
          <w:rPr>
            <w:noProof/>
            <w:webHidden/>
          </w:rPr>
          <w:tab/>
        </w:r>
        <w:r w:rsidR="00634E5C">
          <w:rPr>
            <w:noProof/>
            <w:webHidden/>
          </w:rPr>
          <w:fldChar w:fldCharType="begin"/>
        </w:r>
        <w:r w:rsidR="00634E5C">
          <w:rPr>
            <w:noProof/>
            <w:webHidden/>
          </w:rPr>
          <w:instrText xml:space="preserve"> PAGEREF _Toc88218556 \h </w:instrText>
        </w:r>
        <w:r w:rsidR="00634E5C">
          <w:rPr>
            <w:noProof/>
            <w:webHidden/>
          </w:rPr>
        </w:r>
        <w:r w:rsidR="00634E5C">
          <w:rPr>
            <w:noProof/>
            <w:webHidden/>
          </w:rPr>
          <w:fldChar w:fldCharType="separate"/>
        </w:r>
        <w:r w:rsidR="00CD04FC">
          <w:rPr>
            <w:noProof/>
            <w:webHidden/>
          </w:rPr>
          <w:t>56</w:t>
        </w:r>
        <w:r w:rsidR="00634E5C">
          <w:rPr>
            <w:noProof/>
            <w:webHidden/>
          </w:rPr>
          <w:fldChar w:fldCharType="end"/>
        </w:r>
      </w:hyperlink>
    </w:p>
    <w:p w14:paraId="55B7839F" w14:textId="6BCC7385" w:rsidR="00634E5C" w:rsidRDefault="003729D1">
      <w:pPr>
        <w:pStyle w:val="TOC2"/>
        <w:rPr>
          <w:rFonts w:asciiTheme="minorHAnsi" w:eastAsiaTheme="minorEastAsia" w:hAnsiTheme="minorHAnsi" w:cstheme="minorBidi"/>
          <w:b w:val="0"/>
          <w:noProof/>
          <w:sz w:val="22"/>
          <w:szCs w:val="22"/>
          <w:lang w:eastAsia="zh-CN"/>
        </w:rPr>
      </w:pPr>
      <w:hyperlink w:anchor="_Toc88218557" w:history="1">
        <w:r w:rsidR="00634E5C" w:rsidRPr="00EA3A75">
          <w:rPr>
            <w:rStyle w:val="Hyperlink"/>
            <w:noProof/>
          </w:rPr>
          <w:t>3.2 Acute Effects of Daily Intramuscular Glucocorticoid Treatment on Rabbit Vocal Folds</w:t>
        </w:r>
        <w:r w:rsidR="00634E5C">
          <w:rPr>
            <w:noProof/>
            <w:webHidden/>
          </w:rPr>
          <w:tab/>
        </w:r>
        <w:r w:rsidR="00634E5C">
          <w:rPr>
            <w:noProof/>
            <w:webHidden/>
          </w:rPr>
          <w:fldChar w:fldCharType="begin"/>
        </w:r>
        <w:r w:rsidR="00634E5C">
          <w:rPr>
            <w:noProof/>
            <w:webHidden/>
          </w:rPr>
          <w:instrText xml:space="preserve"> PAGEREF _Toc88218557 \h </w:instrText>
        </w:r>
        <w:r w:rsidR="00634E5C">
          <w:rPr>
            <w:noProof/>
            <w:webHidden/>
          </w:rPr>
        </w:r>
        <w:r w:rsidR="00634E5C">
          <w:rPr>
            <w:noProof/>
            <w:webHidden/>
          </w:rPr>
          <w:fldChar w:fldCharType="separate"/>
        </w:r>
        <w:r w:rsidR="00CD04FC">
          <w:rPr>
            <w:noProof/>
            <w:webHidden/>
          </w:rPr>
          <w:t>58</w:t>
        </w:r>
        <w:r w:rsidR="00634E5C">
          <w:rPr>
            <w:noProof/>
            <w:webHidden/>
          </w:rPr>
          <w:fldChar w:fldCharType="end"/>
        </w:r>
      </w:hyperlink>
    </w:p>
    <w:p w14:paraId="7C414AAB" w14:textId="381B209F" w:rsidR="00634E5C" w:rsidRDefault="003729D1">
      <w:pPr>
        <w:pStyle w:val="TOC3"/>
        <w:rPr>
          <w:rFonts w:asciiTheme="minorHAnsi" w:eastAsiaTheme="minorEastAsia" w:hAnsiTheme="minorHAnsi" w:cstheme="minorBidi"/>
          <w:b w:val="0"/>
          <w:noProof/>
          <w:sz w:val="22"/>
          <w:szCs w:val="22"/>
          <w:lang w:eastAsia="zh-CN"/>
        </w:rPr>
      </w:pPr>
      <w:hyperlink w:anchor="_Toc88218558" w:history="1">
        <w:r w:rsidR="00634E5C" w:rsidRPr="00EA3A75">
          <w:rPr>
            <w:rStyle w:val="Hyperlink"/>
            <w:noProof/>
          </w:rPr>
          <w:t>3.2.1 Body Mass</w:t>
        </w:r>
        <w:r w:rsidR="00634E5C">
          <w:rPr>
            <w:noProof/>
            <w:webHidden/>
          </w:rPr>
          <w:tab/>
        </w:r>
        <w:r w:rsidR="00634E5C">
          <w:rPr>
            <w:noProof/>
            <w:webHidden/>
          </w:rPr>
          <w:fldChar w:fldCharType="begin"/>
        </w:r>
        <w:r w:rsidR="00634E5C">
          <w:rPr>
            <w:noProof/>
            <w:webHidden/>
          </w:rPr>
          <w:instrText xml:space="preserve"> PAGEREF _Toc88218558 \h </w:instrText>
        </w:r>
        <w:r w:rsidR="00634E5C">
          <w:rPr>
            <w:noProof/>
            <w:webHidden/>
          </w:rPr>
        </w:r>
        <w:r w:rsidR="00634E5C">
          <w:rPr>
            <w:noProof/>
            <w:webHidden/>
          </w:rPr>
          <w:fldChar w:fldCharType="separate"/>
        </w:r>
        <w:r w:rsidR="00CD04FC">
          <w:rPr>
            <w:noProof/>
            <w:webHidden/>
          </w:rPr>
          <w:t>58</w:t>
        </w:r>
        <w:r w:rsidR="00634E5C">
          <w:rPr>
            <w:noProof/>
            <w:webHidden/>
          </w:rPr>
          <w:fldChar w:fldCharType="end"/>
        </w:r>
      </w:hyperlink>
    </w:p>
    <w:p w14:paraId="6FDA6F24" w14:textId="5981A79D" w:rsidR="00634E5C" w:rsidRDefault="003729D1">
      <w:pPr>
        <w:pStyle w:val="TOC3"/>
        <w:rPr>
          <w:rFonts w:asciiTheme="minorHAnsi" w:eastAsiaTheme="minorEastAsia" w:hAnsiTheme="minorHAnsi" w:cstheme="minorBidi"/>
          <w:b w:val="0"/>
          <w:noProof/>
          <w:sz w:val="22"/>
          <w:szCs w:val="22"/>
          <w:lang w:eastAsia="zh-CN"/>
        </w:rPr>
      </w:pPr>
      <w:hyperlink w:anchor="_Toc88218559" w:history="1">
        <w:r w:rsidR="00634E5C" w:rsidRPr="00EA3A75">
          <w:rPr>
            <w:rStyle w:val="Hyperlink"/>
            <w:noProof/>
          </w:rPr>
          <w:t>3.2.2 Thyroarytenoid Muscle Cross-sectional Area</w:t>
        </w:r>
        <w:r w:rsidR="00634E5C">
          <w:rPr>
            <w:noProof/>
            <w:webHidden/>
          </w:rPr>
          <w:tab/>
        </w:r>
        <w:r w:rsidR="00634E5C">
          <w:rPr>
            <w:noProof/>
            <w:webHidden/>
          </w:rPr>
          <w:fldChar w:fldCharType="begin"/>
        </w:r>
        <w:r w:rsidR="00634E5C">
          <w:rPr>
            <w:noProof/>
            <w:webHidden/>
          </w:rPr>
          <w:instrText xml:space="preserve"> PAGEREF _Toc88218559 \h </w:instrText>
        </w:r>
        <w:r w:rsidR="00634E5C">
          <w:rPr>
            <w:noProof/>
            <w:webHidden/>
          </w:rPr>
        </w:r>
        <w:r w:rsidR="00634E5C">
          <w:rPr>
            <w:noProof/>
            <w:webHidden/>
          </w:rPr>
          <w:fldChar w:fldCharType="separate"/>
        </w:r>
        <w:r w:rsidR="00CD04FC">
          <w:rPr>
            <w:noProof/>
            <w:webHidden/>
          </w:rPr>
          <w:t>59</w:t>
        </w:r>
        <w:r w:rsidR="00634E5C">
          <w:rPr>
            <w:noProof/>
            <w:webHidden/>
          </w:rPr>
          <w:fldChar w:fldCharType="end"/>
        </w:r>
      </w:hyperlink>
    </w:p>
    <w:p w14:paraId="29E69D02" w14:textId="75F8BF54" w:rsidR="00634E5C" w:rsidRDefault="003729D1">
      <w:pPr>
        <w:pStyle w:val="TOC3"/>
        <w:rPr>
          <w:rFonts w:asciiTheme="minorHAnsi" w:eastAsiaTheme="minorEastAsia" w:hAnsiTheme="minorHAnsi" w:cstheme="minorBidi"/>
          <w:b w:val="0"/>
          <w:noProof/>
          <w:sz w:val="22"/>
          <w:szCs w:val="22"/>
          <w:lang w:eastAsia="zh-CN"/>
        </w:rPr>
      </w:pPr>
      <w:hyperlink w:anchor="_Toc88218560" w:history="1">
        <w:r w:rsidR="00634E5C" w:rsidRPr="00EA3A75">
          <w:rPr>
            <w:rStyle w:val="Hyperlink"/>
            <w:noProof/>
          </w:rPr>
          <w:t>3.2.3 Immunofluorescence Expression</w:t>
        </w:r>
        <w:r w:rsidR="00634E5C">
          <w:rPr>
            <w:noProof/>
            <w:webHidden/>
          </w:rPr>
          <w:tab/>
        </w:r>
        <w:r w:rsidR="00634E5C">
          <w:rPr>
            <w:noProof/>
            <w:webHidden/>
          </w:rPr>
          <w:fldChar w:fldCharType="begin"/>
        </w:r>
        <w:r w:rsidR="00634E5C">
          <w:rPr>
            <w:noProof/>
            <w:webHidden/>
          </w:rPr>
          <w:instrText xml:space="preserve"> PAGEREF _Toc88218560 \h </w:instrText>
        </w:r>
        <w:r w:rsidR="00634E5C">
          <w:rPr>
            <w:noProof/>
            <w:webHidden/>
          </w:rPr>
        </w:r>
        <w:r w:rsidR="00634E5C">
          <w:rPr>
            <w:noProof/>
            <w:webHidden/>
          </w:rPr>
          <w:fldChar w:fldCharType="separate"/>
        </w:r>
        <w:r w:rsidR="00CD04FC">
          <w:rPr>
            <w:noProof/>
            <w:webHidden/>
          </w:rPr>
          <w:t>60</w:t>
        </w:r>
        <w:r w:rsidR="00634E5C">
          <w:rPr>
            <w:noProof/>
            <w:webHidden/>
          </w:rPr>
          <w:fldChar w:fldCharType="end"/>
        </w:r>
      </w:hyperlink>
    </w:p>
    <w:p w14:paraId="0F2222FB" w14:textId="047F0B63" w:rsidR="00634E5C" w:rsidRDefault="003729D1">
      <w:pPr>
        <w:pStyle w:val="TOC2"/>
        <w:rPr>
          <w:rFonts w:asciiTheme="minorHAnsi" w:eastAsiaTheme="minorEastAsia" w:hAnsiTheme="minorHAnsi" w:cstheme="minorBidi"/>
          <w:b w:val="0"/>
          <w:noProof/>
          <w:sz w:val="22"/>
          <w:szCs w:val="22"/>
          <w:lang w:eastAsia="zh-CN"/>
        </w:rPr>
      </w:pPr>
      <w:hyperlink w:anchor="_Toc88218561" w:history="1">
        <w:r w:rsidR="00634E5C" w:rsidRPr="00EA3A75">
          <w:rPr>
            <w:rStyle w:val="Hyperlink"/>
            <w:noProof/>
          </w:rPr>
          <w:t>3.3 Occurrence of Vocal Fold Atrophy after Intracordal Dexamethasone Injection</w:t>
        </w:r>
        <w:r w:rsidR="00634E5C">
          <w:rPr>
            <w:noProof/>
            <w:webHidden/>
          </w:rPr>
          <w:tab/>
        </w:r>
        <w:r w:rsidR="00634E5C">
          <w:rPr>
            <w:noProof/>
            <w:webHidden/>
          </w:rPr>
          <w:fldChar w:fldCharType="begin"/>
        </w:r>
        <w:r w:rsidR="00634E5C">
          <w:rPr>
            <w:noProof/>
            <w:webHidden/>
          </w:rPr>
          <w:instrText xml:space="preserve"> PAGEREF _Toc88218561 \h </w:instrText>
        </w:r>
        <w:r w:rsidR="00634E5C">
          <w:rPr>
            <w:noProof/>
            <w:webHidden/>
          </w:rPr>
        </w:r>
        <w:r w:rsidR="00634E5C">
          <w:rPr>
            <w:noProof/>
            <w:webHidden/>
          </w:rPr>
          <w:fldChar w:fldCharType="separate"/>
        </w:r>
        <w:r w:rsidR="00CD04FC">
          <w:rPr>
            <w:noProof/>
            <w:webHidden/>
          </w:rPr>
          <w:t>61</w:t>
        </w:r>
        <w:r w:rsidR="00634E5C">
          <w:rPr>
            <w:noProof/>
            <w:webHidden/>
          </w:rPr>
          <w:fldChar w:fldCharType="end"/>
        </w:r>
      </w:hyperlink>
    </w:p>
    <w:p w14:paraId="2BA4B513" w14:textId="12B7C433" w:rsidR="00634E5C" w:rsidRDefault="003729D1">
      <w:pPr>
        <w:pStyle w:val="TOC3"/>
        <w:rPr>
          <w:rFonts w:asciiTheme="minorHAnsi" w:eastAsiaTheme="minorEastAsia" w:hAnsiTheme="minorHAnsi" w:cstheme="minorBidi"/>
          <w:b w:val="0"/>
          <w:noProof/>
          <w:sz w:val="22"/>
          <w:szCs w:val="22"/>
          <w:lang w:eastAsia="zh-CN"/>
        </w:rPr>
      </w:pPr>
      <w:hyperlink w:anchor="_Toc88218562" w:history="1">
        <w:r w:rsidR="00634E5C" w:rsidRPr="00EA3A75">
          <w:rPr>
            <w:rStyle w:val="Hyperlink"/>
            <w:noProof/>
          </w:rPr>
          <w:t>3.3.1 Thyroarytenoid Muscle Cross-sectional Area.</w:t>
        </w:r>
        <w:r w:rsidR="00634E5C">
          <w:rPr>
            <w:noProof/>
            <w:webHidden/>
          </w:rPr>
          <w:tab/>
        </w:r>
        <w:r w:rsidR="00634E5C">
          <w:rPr>
            <w:noProof/>
            <w:webHidden/>
          </w:rPr>
          <w:fldChar w:fldCharType="begin"/>
        </w:r>
        <w:r w:rsidR="00634E5C">
          <w:rPr>
            <w:noProof/>
            <w:webHidden/>
          </w:rPr>
          <w:instrText xml:space="preserve"> PAGEREF _Toc88218562 \h </w:instrText>
        </w:r>
        <w:r w:rsidR="00634E5C">
          <w:rPr>
            <w:noProof/>
            <w:webHidden/>
          </w:rPr>
        </w:r>
        <w:r w:rsidR="00634E5C">
          <w:rPr>
            <w:noProof/>
            <w:webHidden/>
          </w:rPr>
          <w:fldChar w:fldCharType="separate"/>
        </w:r>
        <w:r w:rsidR="00CD04FC">
          <w:rPr>
            <w:noProof/>
            <w:webHidden/>
          </w:rPr>
          <w:t>61</w:t>
        </w:r>
        <w:r w:rsidR="00634E5C">
          <w:rPr>
            <w:noProof/>
            <w:webHidden/>
          </w:rPr>
          <w:fldChar w:fldCharType="end"/>
        </w:r>
      </w:hyperlink>
    </w:p>
    <w:p w14:paraId="68C37517" w14:textId="11CE24E8" w:rsidR="00634E5C" w:rsidRDefault="003729D1">
      <w:pPr>
        <w:pStyle w:val="TOC3"/>
        <w:rPr>
          <w:rFonts w:asciiTheme="minorHAnsi" w:eastAsiaTheme="minorEastAsia" w:hAnsiTheme="minorHAnsi" w:cstheme="minorBidi"/>
          <w:b w:val="0"/>
          <w:noProof/>
          <w:sz w:val="22"/>
          <w:szCs w:val="22"/>
          <w:lang w:eastAsia="zh-CN"/>
        </w:rPr>
      </w:pPr>
      <w:hyperlink w:anchor="_Toc88218563" w:history="1">
        <w:r w:rsidR="00634E5C" w:rsidRPr="00EA3A75">
          <w:rPr>
            <w:rStyle w:val="Hyperlink"/>
            <w:noProof/>
          </w:rPr>
          <w:t>3.3.2 MuRF-1 Gene Expression</w:t>
        </w:r>
        <w:r w:rsidR="00634E5C">
          <w:rPr>
            <w:noProof/>
            <w:webHidden/>
          </w:rPr>
          <w:tab/>
        </w:r>
        <w:r w:rsidR="00634E5C">
          <w:rPr>
            <w:noProof/>
            <w:webHidden/>
          </w:rPr>
          <w:fldChar w:fldCharType="begin"/>
        </w:r>
        <w:r w:rsidR="00634E5C">
          <w:rPr>
            <w:noProof/>
            <w:webHidden/>
          </w:rPr>
          <w:instrText xml:space="preserve"> PAGEREF _Toc88218563 \h </w:instrText>
        </w:r>
        <w:r w:rsidR="00634E5C">
          <w:rPr>
            <w:noProof/>
            <w:webHidden/>
          </w:rPr>
        </w:r>
        <w:r w:rsidR="00634E5C">
          <w:rPr>
            <w:noProof/>
            <w:webHidden/>
          </w:rPr>
          <w:fldChar w:fldCharType="separate"/>
        </w:r>
        <w:r w:rsidR="00CD04FC">
          <w:rPr>
            <w:noProof/>
            <w:webHidden/>
          </w:rPr>
          <w:t>63</w:t>
        </w:r>
        <w:r w:rsidR="00634E5C">
          <w:rPr>
            <w:noProof/>
            <w:webHidden/>
          </w:rPr>
          <w:fldChar w:fldCharType="end"/>
        </w:r>
      </w:hyperlink>
    </w:p>
    <w:p w14:paraId="2D6FCF5E" w14:textId="10EA6759" w:rsidR="00634E5C" w:rsidRDefault="003729D1">
      <w:pPr>
        <w:pStyle w:val="TOC3"/>
        <w:rPr>
          <w:rFonts w:asciiTheme="minorHAnsi" w:eastAsiaTheme="minorEastAsia" w:hAnsiTheme="minorHAnsi" w:cstheme="minorBidi"/>
          <w:b w:val="0"/>
          <w:noProof/>
          <w:sz w:val="22"/>
          <w:szCs w:val="22"/>
          <w:lang w:eastAsia="zh-CN"/>
        </w:rPr>
      </w:pPr>
      <w:hyperlink w:anchor="_Toc88218564" w:history="1">
        <w:r w:rsidR="00634E5C" w:rsidRPr="00EA3A75">
          <w:rPr>
            <w:rStyle w:val="Hyperlink"/>
            <w:noProof/>
          </w:rPr>
          <w:t>3.3.3 Atrogin-1 Gene Expression</w:t>
        </w:r>
        <w:r w:rsidR="00634E5C">
          <w:rPr>
            <w:noProof/>
            <w:webHidden/>
          </w:rPr>
          <w:tab/>
        </w:r>
        <w:r w:rsidR="00634E5C">
          <w:rPr>
            <w:noProof/>
            <w:webHidden/>
          </w:rPr>
          <w:fldChar w:fldCharType="begin"/>
        </w:r>
        <w:r w:rsidR="00634E5C">
          <w:rPr>
            <w:noProof/>
            <w:webHidden/>
          </w:rPr>
          <w:instrText xml:space="preserve"> PAGEREF _Toc88218564 \h </w:instrText>
        </w:r>
        <w:r w:rsidR="00634E5C">
          <w:rPr>
            <w:noProof/>
            <w:webHidden/>
          </w:rPr>
        </w:r>
        <w:r w:rsidR="00634E5C">
          <w:rPr>
            <w:noProof/>
            <w:webHidden/>
          </w:rPr>
          <w:fldChar w:fldCharType="separate"/>
        </w:r>
        <w:r w:rsidR="00CD04FC">
          <w:rPr>
            <w:noProof/>
            <w:webHidden/>
          </w:rPr>
          <w:t>63</w:t>
        </w:r>
        <w:r w:rsidR="00634E5C">
          <w:rPr>
            <w:noProof/>
            <w:webHidden/>
          </w:rPr>
          <w:fldChar w:fldCharType="end"/>
        </w:r>
      </w:hyperlink>
    </w:p>
    <w:p w14:paraId="35732516" w14:textId="7F6EE1FB" w:rsidR="00634E5C" w:rsidRDefault="003729D1">
      <w:pPr>
        <w:pStyle w:val="TOC1"/>
        <w:rPr>
          <w:rFonts w:asciiTheme="minorHAnsi" w:eastAsiaTheme="minorEastAsia" w:hAnsiTheme="minorHAnsi" w:cstheme="minorBidi"/>
          <w:b w:val="0"/>
          <w:noProof/>
          <w:sz w:val="22"/>
          <w:szCs w:val="22"/>
          <w:lang w:eastAsia="zh-CN"/>
        </w:rPr>
      </w:pPr>
      <w:hyperlink w:anchor="_Toc88218565" w:history="1">
        <w:r w:rsidR="00634E5C" w:rsidRPr="00EA3A75">
          <w:rPr>
            <w:rStyle w:val="Hyperlink"/>
            <w:noProof/>
          </w:rPr>
          <w:t>4.0 Discussion</w:t>
        </w:r>
        <w:r w:rsidR="00634E5C">
          <w:rPr>
            <w:noProof/>
            <w:webHidden/>
          </w:rPr>
          <w:tab/>
        </w:r>
        <w:r w:rsidR="00634E5C">
          <w:rPr>
            <w:noProof/>
            <w:webHidden/>
          </w:rPr>
          <w:fldChar w:fldCharType="begin"/>
        </w:r>
        <w:r w:rsidR="00634E5C">
          <w:rPr>
            <w:noProof/>
            <w:webHidden/>
          </w:rPr>
          <w:instrText xml:space="preserve"> PAGEREF _Toc88218565 \h </w:instrText>
        </w:r>
        <w:r w:rsidR="00634E5C">
          <w:rPr>
            <w:noProof/>
            <w:webHidden/>
          </w:rPr>
        </w:r>
        <w:r w:rsidR="00634E5C">
          <w:rPr>
            <w:noProof/>
            <w:webHidden/>
          </w:rPr>
          <w:fldChar w:fldCharType="separate"/>
        </w:r>
        <w:r w:rsidR="00CD04FC">
          <w:rPr>
            <w:noProof/>
            <w:webHidden/>
          </w:rPr>
          <w:t>65</w:t>
        </w:r>
        <w:r w:rsidR="00634E5C">
          <w:rPr>
            <w:noProof/>
            <w:webHidden/>
          </w:rPr>
          <w:fldChar w:fldCharType="end"/>
        </w:r>
      </w:hyperlink>
    </w:p>
    <w:p w14:paraId="1D6291F7" w14:textId="486000A4" w:rsidR="00634E5C" w:rsidRDefault="003729D1">
      <w:pPr>
        <w:pStyle w:val="TOC2"/>
        <w:rPr>
          <w:rFonts w:asciiTheme="minorHAnsi" w:eastAsiaTheme="minorEastAsia" w:hAnsiTheme="minorHAnsi" w:cstheme="minorBidi"/>
          <w:b w:val="0"/>
          <w:noProof/>
          <w:sz w:val="22"/>
          <w:szCs w:val="22"/>
          <w:lang w:eastAsia="zh-CN"/>
        </w:rPr>
      </w:pPr>
      <w:hyperlink w:anchor="_Toc88218566" w:history="1">
        <w:r w:rsidR="00634E5C" w:rsidRPr="00EA3A75">
          <w:rPr>
            <w:rStyle w:val="Hyperlink"/>
            <w:noProof/>
          </w:rPr>
          <w:t>4.1 Localization of Integral Membrane Proteins in Human and Rabbit Vocal Folds</w:t>
        </w:r>
        <w:r w:rsidR="00634E5C">
          <w:rPr>
            <w:noProof/>
            <w:webHidden/>
          </w:rPr>
          <w:tab/>
        </w:r>
        <w:r w:rsidR="00634E5C">
          <w:rPr>
            <w:noProof/>
            <w:webHidden/>
          </w:rPr>
          <w:fldChar w:fldCharType="begin"/>
        </w:r>
        <w:r w:rsidR="00634E5C">
          <w:rPr>
            <w:noProof/>
            <w:webHidden/>
          </w:rPr>
          <w:instrText xml:space="preserve"> PAGEREF _Toc88218566 \h </w:instrText>
        </w:r>
        <w:r w:rsidR="00634E5C">
          <w:rPr>
            <w:noProof/>
            <w:webHidden/>
          </w:rPr>
        </w:r>
        <w:r w:rsidR="00634E5C">
          <w:rPr>
            <w:noProof/>
            <w:webHidden/>
          </w:rPr>
          <w:fldChar w:fldCharType="separate"/>
        </w:r>
        <w:r w:rsidR="00CD04FC">
          <w:rPr>
            <w:noProof/>
            <w:webHidden/>
          </w:rPr>
          <w:t>65</w:t>
        </w:r>
        <w:r w:rsidR="00634E5C">
          <w:rPr>
            <w:noProof/>
            <w:webHidden/>
          </w:rPr>
          <w:fldChar w:fldCharType="end"/>
        </w:r>
      </w:hyperlink>
    </w:p>
    <w:p w14:paraId="69866374" w14:textId="39859092" w:rsidR="00634E5C" w:rsidRDefault="003729D1">
      <w:pPr>
        <w:pStyle w:val="TOC2"/>
        <w:rPr>
          <w:rFonts w:asciiTheme="minorHAnsi" w:eastAsiaTheme="minorEastAsia" w:hAnsiTheme="minorHAnsi" w:cstheme="minorBidi"/>
          <w:b w:val="0"/>
          <w:noProof/>
          <w:sz w:val="22"/>
          <w:szCs w:val="22"/>
          <w:lang w:eastAsia="zh-CN"/>
        </w:rPr>
      </w:pPr>
      <w:hyperlink w:anchor="_Toc88218567" w:history="1">
        <w:r w:rsidR="00634E5C" w:rsidRPr="00EA3A75">
          <w:rPr>
            <w:rStyle w:val="Hyperlink"/>
            <w:noProof/>
          </w:rPr>
          <w:t>4.2 Acute Effects of Daily Intramuscular GC Treatment on Rabbit Vocal Folds</w:t>
        </w:r>
        <w:r w:rsidR="00634E5C">
          <w:rPr>
            <w:noProof/>
            <w:webHidden/>
          </w:rPr>
          <w:tab/>
        </w:r>
        <w:r w:rsidR="00634E5C">
          <w:rPr>
            <w:noProof/>
            <w:webHidden/>
          </w:rPr>
          <w:fldChar w:fldCharType="begin"/>
        </w:r>
        <w:r w:rsidR="00634E5C">
          <w:rPr>
            <w:noProof/>
            <w:webHidden/>
          </w:rPr>
          <w:instrText xml:space="preserve"> PAGEREF _Toc88218567 \h </w:instrText>
        </w:r>
        <w:r w:rsidR="00634E5C">
          <w:rPr>
            <w:noProof/>
            <w:webHidden/>
          </w:rPr>
        </w:r>
        <w:r w:rsidR="00634E5C">
          <w:rPr>
            <w:noProof/>
            <w:webHidden/>
          </w:rPr>
          <w:fldChar w:fldCharType="separate"/>
        </w:r>
        <w:r w:rsidR="00CD04FC">
          <w:rPr>
            <w:noProof/>
            <w:webHidden/>
          </w:rPr>
          <w:t>69</w:t>
        </w:r>
        <w:r w:rsidR="00634E5C">
          <w:rPr>
            <w:noProof/>
            <w:webHidden/>
          </w:rPr>
          <w:fldChar w:fldCharType="end"/>
        </w:r>
      </w:hyperlink>
    </w:p>
    <w:p w14:paraId="63A25838" w14:textId="50D02B5A" w:rsidR="00634E5C" w:rsidRDefault="003729D1">
      <w:pPr>
        <w:pStyle w:val="TOC2"/>
        <w:rPr>
          <w:rFonts w:asciiTheme="minorHAnsi" w:eastAsiaTheme="minorEastAsia" w:hAnsiTheme="minorHAnsi" w:cstheme="minorBidi"/>
          <w:b w:val="0"/>
          <w:noProof/>
          <w:sz w:val="22"/>
          <w:szCs w:val="22"/>
          <w:lang w:eastAsia="zh-CN"/>
        </w:rPr>
      </w:pPr>
      <w:hyperlink w:anchor="_Toc88218568" w:history="1">
        <w:r w:rsidR="00634E5C" w:rsidRPr="00EA3A75">
          <w:rPr>
            <w:rStyle w:val="Hyperlink"/>
            <w:noProof/>
          </w:rPr>
          <w:t>4.3 Occurrence of Vocal Fold Atrophy After Intracordal Dexamethasone Injection</w:t>
        </w:r>
        <w:r w:rsidR="00634E5C">
          <w:rPr>
            <w:noProof/>
            <w:webHidden/>
          </w:rPr>
          <w:tab/>
        </w:r>
        <w:r w:rsidR="00634E5C">
          <w:rPr>
            <w:noProof/>
            <w:webHidden/>
          </w:rPr>
          <w:fldChar w:fldCharType="begin"/>
        </w:r>
        <w:r w:rsidR="00634E5C">
          <w:rPr>
            <w:noProof/>
            <w:webHidden/>
          </w:rPr>
          <w:instrText xml:space="preserve"> PAGEREF _Toc88218568 \h </w:instrText>
        </w:r>
        <w:r w:rsidR="00634E5C">
          <w:rPr>
            <w:noProof/>
            <w:webHidden/>
          </w:rPr>
        </w:r>
        <w:r w:rsidR="00634E5C">
          <w:rPr>
            <w:noProof/>
            <w:webHidden/>
          </w:rPr>
          <w:fldChar w:fldCharType="separate"/>
        </w:r>
        <w:r w:rsidR="00CD04FC">
          <w:rPr>
            <w:noProof/>
            <w:webHidden/>
          </w:rPr>
          <w:t>71</w:t>
        </w:r>
        <w:r w:rsidR="00634E5C">
          <w:rPr>
            <w:noProof/>
            <w:webHidden/>
          </w:rPr>
          <w:fldChar w:fldCharType="end"/>
        </w:r>
      </w:hyperlink>
    </w:p>
    <w:p w14:paraId="661F3894" w14:textId="17A6D7EA" w:rsidR="00634E5C" w:rsidRDefault="003729D1">
      <w:pPr>
        <w:pStyle w:val="TOC2"/>
        <w:rPr>
          <w:rFonts w:asciiTheme="minorHAnsi" w:eastAsiaTheme="minorEastAsia" w:hAnsiTheme="minorHAnsi" w:cstheme="minorBidi"/>
          <w:b w:val="0"/>
          <w:noProof/>
          <w:sz w:val="22"/>
          <w:szCs w:val="22"/>
          <w:lang w:eastAsia="zh-CN"/>
        </w:rPr>
      </w:pPr>
      <w:hyperlink w:anchor="_Toc88218569" w:history="1">
        <w:r w:rsidR="00634E5C" w:rsidRPr="00EA3A75">
          <w:rPr>
            <w:rStyle w:val="Hyperlink"/>
            <w:noProof/>
          </w:rPr>
          <w:t>4.4 Limitations</w:t>
        </w:r>
        <w:r w:rsidR="00634E5C">
          <w:rPr>
            <w:noProof/>
            <w:webHidden/>
          </w:rPr>
          <w:tab/>
        </w:r>
        <w:r w:rsidR="00634E5C">
          <w:rPr>
            <w:noProof/>
            <w:webHidden/>
          </w:rPr>
          <w:fldChar w:fldCharType="begin"/>
        </w:r>
        <w:r w:rsidR="00634E5C">
          <w:rPr>
            <w:noProof/>
            <w:webHidden/>
          </w:rPr>
          <w:instrText xml:space="preserve"> PAGEREF _Toc88218569 \h </w:instrText>
        </w:r>
        <w:r w:rsidR="00634E5C">
          <w:rPr>
            <w:noProof/>
            <w:webHidden/>
          </w:rPr>
        </w:r>
        <w:r w:rsidR="00634E5C">
          <w:rPr>
            <w:noProof/>
            <w:webHidden/>
          </w:rPr>
          <w:fldChar w:fldCharType="separate"/>
        </w:r>
        <w:r w:rsidR="00CD04FC">
          <w:rPr>
            <w:noProof/>
            <w:webHidden/>
          </w:rPr>
          <w:t>72</w:t>
        </w:r>
        <w:r w:rsidR="00634E5C">
          <w:rPr>
            <w:noProof/>
            <w:webHidden/>
          </w:rPr>
          <w:fldChar w:fldCharType="end"/>
        </w:r>
      </w:hyperlink>
    </w:p>
    <w:p w14:paraId="56CA769B" w14:textId="3C0EB56A" w:rsidR="00634E5C" w:rsidRDefault="003729D1">
      <w:pPr>
        <w:pStyle w:val="TOC1"/>
        <w:rPr>
          <w:rFonts w:asciiTheme="minorHAnsi" w:eastAsiaTheme="minorEastAsia" w:hAnsiTheme="minorHAnsi" w:cstheme="minorBidi"/>
          <w:b w:val="0"/>
          <w:noProof/>
          <w:sz w:val="22"/>
          <w:szCs w:val="22"/>
          <w:lang w:eastAsia="zh-CN"/>
        </w:rPr>
      </w:pPr>
      <w:hyperlink w:anchor="_Toc88218570" w:history="1">
        <w:r w:rsidR="00634E5C" w:rsidRPr="00EA3A75">
          <w:rPr>
            <w:rStyle w:val="Hyperlink"/>
            <w:noProof/>
          </w:rPr>
          <w:t>5.0 Conclusion and Clinical Implications</w:t>
        </w:r>
        <w:r w:rsidR="00634E5C">
          <w:rPr>
            <w:noProof/>
            <w:webHidden/>
          </w:rPr>
          <w:tab/>
        </w:r>
        <w:r w:rsidR="00634E5C">
          <w:rPr>
            <w:noProof/>
            <w:webHidden/>
          </w:rPr>
          <w:fldChar w:fldCharType="begin"/>
        </w:r>
        <w:r w:rsidR="00634E5C">
          <w:rPr>
            <w:noProof/>
            <w:webHidden/>
          </w:rPr>
          <w:instrText xml:space="preserve"> PAGEREF _Toc88218570 \h </w:instrText>
        </w:r>
        <w:r w:rsidR="00634E5C">
          <w:rPr>
            <w:noProof/>
            <w:webHidden/>
          </w:rPr>
        </w:r>
        <w:r w:rsidR="00634E5C">
          <w:rPr>
            <w:noProof/>
            <w:webHidden/>
          </w:rPr>
          <w:fldChar w:fldCharType="separate"/>
        </w:r>
        <w:r w:rsidR="00CD04FC">
          <w:rPr>
            <w:noProof/>
            <w:webHidden/>
          </w:rPr>
          <w:t>74</w:t>
        </w:r>
        <w:r w:rsidR="00634E5C">
          <w:rPr>
            <w:noProof/>
            <w:webHidden/>
          </w:rPr>
          <w:fldChar w:fldCharType="end"/>
        </w:r>
      </w:hyperlink>
    </w:p>
    <w:p w14:paraId="30350747" w14:textId="475788BA" w:rsidR="00634E5C" w:rsidRDefault="003729D1">
      <w:pPr>
        <w:pStyle w:val="TOC1"/>
        <w:rPr>
          <w:rFonts w:asciiTheme="minorHAnsi" w:eastAsiaTheme="minorEastAsia" w:hAnsiTheme="minorHAnsi" w:cstheme="minorBidi"/>
          <w:b w:val="0"/>
          <w:noProof/>
          <w:sz w:val="22"/>
          <w:szCs w:val="22"/>
          <w:lang w:eastAsia="zh-CN"/>
        </w:rPr>
      </w:pPr>
      <w:hyperlink w:anchor="_Toc88218571" w:history="1">
        <w:r w:rsidR="00634E5C" w:rsidRPr="00EA3A75">
          <w:rPr>
            <w:rStyle w:val="Hyperlink"/>
            <w:noProof/>
          </w:rPr>
          <w:t>6.0 Future Directions</w:t>
        </w:r>
        <w:r w:rsidR="00634E5C">
          <w:rPr>
            <w:noProof/>
            <w:webHidden/>
          </w:rPr>
          <w:tab/>
        </w:r>
        <w:r w:rsidR="00634E5C">
          <w:rPr>
            <w:noProof/>
            <w:webHidden/>
          </w:rPr>
          <w:fldChar w:fldCharType="begin"/>
        </w:r>
        <w:r w:rsidR="00634E5C">
          <w:rPr>
            <w:noProof/>
            <w:webHidden/>
          </w:rPr>
          <w:instrText xml:space="preserve"> PAGEREF _Toc88218571 \h </w:instrText>
        </w:r>
        <w:r w:rsidR="00634E5C">
          <w:rPr>
            <w:noProof/>
            <w:webHidden/>
          </w:rPr>
        </w:r>
        <w:r w:rsidR="00634E5C">
          <w:rPr>
            <w:noProof/>
            <w:webHidden/>
          </w:rPr>
          <w:fldChar w:fldCharType="separate"/>
        </w:r>
        <w:r w:rsidR="00CD04FC">
          <w:rPr>
            <w:noProof/>
            <w:webHidden/>
          </w:rPr>
          <w:t>75</w:t>
        </w:r>
        <w:r w:rsidR="00634E5C">
          <w:rPr>
            <w:noProof/>
            <w:webHidden/>
          </w:rPr>
          <w:fldChar w:fldCharType="end"/>
        </w:r>
      </w:hyperlink>
    </w:p>
    <w:p w14:paraId="7D650901" w14:textId="20264351" w:rsidR="00634E5C" w:rsidRDefault="003729D1">
      <w:pPr>
        <w:pStyle w:val="TOC1"/>
        <w:rPr>
          <w:rFonts w:asciiTheme="minorHAnsi" w:eastAsiaTheme="minorEastAsia" w:hAnsiTheme="minorHAnsi" w:cstheme="minorBidi"/>
          <w:b w:val="0"/>
          <w:noProof/>
          <w:sz w:val="22"/>
          <w:szCs w:val="22"/>
          <w:lang w:eastAsia="zh-CN"/>
        </w:rPr>
      </w:pPr>
      <w:hyperlink w:anchor="_Toc88218572" w:history="1">
        <w:r w:rsidR="00634E5C" w:rsidRPr="00EA3A75">
          <w:rPr>
            <w:rStyle w:val="Hyperlink"/>
            <w:noProof/>
          </w:rPr>
          <w:t>Appendix A Subjective localization rating form</w:t>
        </w:r>
        <w:r w:rsidR="00634E5C">
          <w:rPr>
            <w:noProof/>
            <w:webHidden/>
          </w:rPr>
          <w:tab/>
        </w:r>
        <w:r w:rsidR="00634E5C">
          <w:rPr>
            <w:noProof/>
            <w:webHidden/>
          </w:rPr>
          <w:fldChar w:fldCharType="begin"/>
        </w:r>
        <w:r w:rsidR="00634E5C">
          <w:rPr>
            <w:noProof/>
            <w:webHidden/>
          </w:rPr>
          <w:instrText xml:space="preserve"> PAGEREF _Toc88218572 \h </w:instrText>
        </w:r>
        <w:r w:rsidR="00634E5C">
          <w:rPr>
            <w:noProof/>
            <w:webHidden/>
          </w:rPr>
        </w:r>
        <w:r w:rsidR="00634E5C">
          <w:rPr>
            <w:noProof/>
            <w:webHidden/>
          </w:rPr>
          <w:fldChar w:fldCharType="separate"/>
        </w:r>
        <w:r w:rsidR="00CD04FC">
          <w:rPr>
            <w:noProof/>
            <w:webHidden/>
          </w:rPr>
          <w:t>77</w:t>
        </w:r>
        <w:r w:rsidR="00634E5C">
          <w:rPr>
            <w:noProof/>
            <w:webHidden/>
          </w:rPr>
          <w:fldChar w:fldCharType="end"/>
        </w:r>
      </w:hyperlink>
    </w:p>
    <w:p w14:paraId="28175FE1" w14:textId="21D6166A" w:rsidR="00634E5C" w:rsidRDefault="003729D1">
      <w:pPr>
        <w:pStyle w:val="TOC1"/>
        <w:rPr>
          <w:rFonts w:asciiTheme="minorHAnsi" w:eastAsiaTheme="minorEastAsia" w:hAnsiTheme="minorHAnsi" w:cstheme="minorBidi"/>
          <w:b w:val="0"/>
          <w:noProof/>
          <w:sz w:val="22"/>
          <w:szCs w:val="22"/>
          <w:lang w:eastAsia="zh-CN"/>
        </w:rPr>
      </w:pPr>
      <w:hyperlink w:anchor="_Toc88218573" w:history="1">
        <w:r w:rsidR="00634E5C" w:rsidRPr="00EA3A75">
          <w:rPr>
            <w:rStyle w:val="Hyperlink"/>
            <w:noProof/>
          </w:rPr>
          <w:t>Appendix B Depiction of muscle fiber CSA quantification</w:t>
        </w:r>
        <w:r w:rsidR="00634E5C">
          <w:rPr>
            <w:noProof/>
            <w:webHidden/>
          </w:rPr>
          <w:tab/>
        </w:r>
        <w:r w:rsidR="00634E5C">
          <w:rPr>
            <w:noProof/>
            <w:webHidden/>
          </w:rPr>
          <w:fldChar w:fldCharType="begin"/>
        </w:r>
        <w:r w:rsidR="00634E5C">
          <w:rPr>
            <w:noProof/>
            <w:webHidden/>
          </w:rPr>
          <w:instrText xml:space="preserve"> PAGEREF _Toc88218573 \h </w:instrText>
        </w:r>
        <w:r w:rsidR="00634E5C">
          <w:rPr>
            <w:noProof/>
            <w:webHidden/>
          </w:rPr>
        </w:r>
        <w:r w:rsidR="00634E5C">
          <w:rPr>
            <w:noProof/>
            <w:webHidden/>
          </w:rPr>
          <w:fldChar w:fldCharType="separate"/>
        </w:r>
        <w:r w:rsidR="00CD04FC">
          <w:rPr>
            <w:noProof/>
            <w:webHidden/>
          </w:rPr>
          <w:t>78</w:t>
        </w:r>
        <w:r w:rsidR="00634E5C">
          <w:rPr>
            <w:noProof/>
            <w:webHidden/>
          </w:rPr>
          <w:fldChar w:fldCharType="end"/>
        </w:r>
      </w:hyperlink>
    </w:p>
    <w:p w14:paraId="23C5FF99" w14:textId="3DD3E787" w:rsidR="00634E5C" w:rsidRDefault="003729D1">
      <w:pPr>
        <w:pStyle w:val="TOC1"/>
        <w:rPr>
          <w:rFonts w:asciiTheme="minorHAnsi" w:eastAsiaTheme="minorEastAsia" w:hAnsiTheme="minorHAnsi" w:cstheme="minorBidi"/>
          <w:b w:val="0"/>
          <w:noProof/>
          <w:sz w:val="22"/>
          <w:szCs w:val="22"/>
          <w:lang w:eastAsia="zh-CN"/>
        </w:rPr>
      </w:pPr>
      <w:hyperlink w:anchor="_Toc88218574" w:history="1">
        <w:r w:rsidR="00634E5C" w:rsidRPr="00EA3A75">
          <w:rPr>
            <w:rStyle w:val="Hyperlink"/>
            <w:noProof/>
          </w:rPr>
          <w:t>Bibliography</w:t>
        </w:r>
        <w:r w:rsidR="00634E5C">
          <w:rPr>
            <w:noProof/>
            <w:webHidden/>
          </w:rPr>
          <w:tab/>
        </w:r>
        <w:r w:rsidR="00634E5C">
          <w:rPr>
            <w:noProof/>
            <w:webHidden/>
          </w:rPr>
          <w:fldChar w:fldCharType="begin"/>
        </w:r>
        <w:r w:rsidR="00634E5C">
          <w:rPr>
            <w:noProof/>
            <w:webHidden/>
          </w:rPr>
          <w:instrText xml:space="preserve"> PAGEREF _Toc88218574 \h </w:instrText>
        </w:r>
        <w:r w:rsidR="00634E5C">
          <w:rPr>
            <w:noProof/>
            <w:webHidden/>
          </w:rPr>
        </w:r>
        <w:r w:rsidR="00634E5C">
          <w:rPr>
            <w:noProof/>
            <w:webHidden/>
          </w:rPr>
          <w:fldChar w:fldCharType="separate"/>
        </w:r>
        <w:r w:rsidR="00CD04FC">
          <w:rPr>
            <w:noProof/>
            <w:webHidden/>
          </w:rPr>
          <w:t>83</w:t>
        </w:r>
        <w:r w:rsidR="00634E5C">
          <w:rPr>
            <w:noProof/>
            <w:webHidden/>
          </w:rPr>
          <w:fldChar w:fldCharType="end"/>
        </w:r>
      </w:hyperlink>
    </w:p>
    <w:p w14:paraId="592F94E5" w14:textId="7DEB67A5" w:rsidR="00CB03F9" w:rsidRDefault="00B71F79" w:rsidP="00905848">
      <w:pPr>
        <w:pStyle w:val="Preliminary"/>
      </w:pPr>
      <w:r>
        <w:rPr>
          <w:rFonts w:cs="Times New Roman"/>
          <w:bCs w:val="0"/>
        </w:rPr>
        <w:fldChar w:fldCharType="end"/>
      </w:r>
      <w:r w:rsidR="00CB03F9">
        <w:t xml:space="preserve">List of </w:t>
      </w:r>
      <w:r w:rsidR="00130B6B">
        <w:t>T</w:t>
      </w:r>
      <w:r w:rsidR="00CB03F9" w:rsidRPr="00B424B6">
        <w:t>ables</w:t>
      </w:r>
    </w:p>
    <w:p w14:paraId="794C3407" w14:textId="399128C6" w:rsidR="00634E5C" w:rsidRDefault="00CB03F9">
      <w:pPr>
        <w:pStyle w:val="TableofFigures"/>
        <w:tabs>
          <w:tab w:val="right" w:leader="dot" w:pos="9350"/>
        </w:tabs>
        <w:rPr>
          <w:rFonts w:asciiTheme="minorHAnsi" w:eastAsiaTheme="minorEastAsia" w:hAnsiTheme="minorHAnsi" w:cstheme="minorBidi"/>
          <w:b w:val="0"/>
          <w:noProof/>
          <w:sz w:val="22"/>
          <w:szCs w:val="22"/>
          <w:lang w:eastAsia="zh-CN"/>
        </w:rPr>
      </w:pPr>
      <w:r>
        <w:fldChar w:fldCharType="begin"/>
      </w:r>
      <w:r>
        <w:instrText xml:space="preserve"> TOC \h \z \c "Table" </w:instrText>
      </w:r>
      <w:r>
        <w:fldChar w:fldCharType="separate"/>
      </w:r>
      <w:hyperlink w:anchor="_Toc88218589" w:history="1">
        <w:r w:rsidR="00634E5C" w:rsidRPr="00A02938">
          <w:rPr>
            <w:rStyle w:val="Hyperlink"/>
            <w:noProof/>
          </w:rPr>
          <w:t>Table 1. Summary of temporal tissue changes in VFs after injury</w:t>
        </w:r>
        <w:r w:rsidR="00634E5C">
          <w:rPr>
            <w:noProof/>
            <w:webHidden/>
          </w:rPr>
          <w:tab/>
        </w:r>
        <w:r w:rsidR="00634E5C">
          <w:rPr>
            <w:noProof/>
            <w:webHidden/>
          </w:rPr>
          <w:fldChar w:fldCharType="begin"/>
        </w:r>
        <w:r w:rsidR="00634E5C">
          <w:rPr>
            <w:noProof/>
            <w:webHidden/>
          </w:rPr>
          <w:instrText xml:space="preserve"> PAGEREF _Toc88218589 \h </w:instrText>
        </w:r>
        <w:r w:rsidR="00634E5C">
          <w:rPr>
            <w:noProof/>
            <w:webHidden/>
          </w:rPr>
        </w:r>
        <w:r w:rsidR="00634E5C">
          <w:rPr>
            <w:noProof/>
            <w:webHidden/>
          </w:rPr>
          <w:fldChar w:fldCharType="separate"/>
        </w:r>
        <w:r w:rsidR="00CD04FC">
          <w:rPr>
            <w:noProof/>
            <w:webHidden/>
          </w:rPr>
          <w:t>18</w:t>
        </w:r>
        <w:r w:rsidR="00634E5C">
          <w:rPr>
            <w:noProof/>
            <w:webHidden/>
          </w:rPr>
          <w:fldChar w:fldCharType="end"/>
        </w:r>
      </w:hyperlink>
    </w:p>
    <w:p w14:paraId="7B74F23E" w14:textId="000602CB" w:rsidR="00634E5C" w:rsidRDefault="003729D1">
      <w:pPr>
        <w:pStyle w:val="TableofFigures"/>
        <w:tabs>
          <w:tab w:val="right" w:leader="dot" w:pos="9350"/>
        </w:tabs>
        <w:rPr>
          <w:rFonts w:asciiTheme="minorHAnsi" w:eastAsiaTheme="minorEastAsia" w:hAnsiTheme="minorHAnsi" w:cstheme="minorBidi"/>
          <w:b w:val="0"/>
          <w:noProof/>
          <w:sz w:val="22"/>
          <w:szCs w:val="22"/>
          <w:lang w:eastAsia="zh-CN"/>
        </w:rPr>
      </w:pPr>
      <w:hyperlink w:anchor="_Toc88218590" w:history="1">
        <w:r w:rsidR="00634E5C" w:rsidRPr="00A02938">
          <w:rPr>
            <w:rStyle w:val="Hyperlink"/>
            <w:noProof/>
          </w:rPr>
          <w:t>Table 2. Anti-inflammatory and biological half-life properties of GCs</w:t>
        </w:r>
        <w:r w:rsidR="00634E5C">
          <w:rPr>
            <w:noProof/>
            <w:webHidden/>
          </w:rPr>
          <w:tab/>
        </w:r>
        <w:r w:rsidR="00634E5C">
          <w:rPr>
            <w:noProof/>
            <w:webHidden/>
          </w:rPr>
          <w:fldChar w:fldCharType="begin"/>
        </w:r>
        <w:r w:rsidR="00634E5C">
          <w:rPr>
            <w:noProof/>
            <w:webHidden/>
          </w:rPr>
          <w:instrText xml:space="preserve"> PAGEREF _Toc88218590 \h </w:instrText>
        </w:r>
        <w:r w:rsidR="00634E5C">
          <w:rPr>
            <w:noProof/>
            <w:webHidden/>
          </w:rPr>
        </w:r>
        <w:r w:rsidR="00634E5C">
          <w:rPr>
            <w:noProof/>
            <w:webHidden/>
          </w:rPr>
          <w:fldChar w:fldCharType="separate"/>
        </w:r>
        <w:r w:rsidR="00CD04FC">
          <w:rPr>
            <w:noProof/>
            <w:webHidden/>
          </w:rPr>
          <w:t>26</w:t>
        </w:r>
        <w:r w:rsidR="00634E5C">
          <w:rPr>
            <w:noProof/>
            <w:webHidden/>
          </w:rPr>
          <w:fldChar w:fldCharType="end"/>
        </w:r>
      </w:hyperlink>
    </w:p>
    <w:p w14:paraId="507E1E8C" w14:textId="517CFD89" w:rsidR="00634E5C" w:rsidRDefault="003729D1">
      <w:pPr>
        <w:pStyle w:val="TableofFigures"/>
        <w:tabs>
          <w:tab w:val="right" w:leader="dot" w:pos="9350"/>
        </w:tabs>
        <w:rPr>
          <w:rFonts w:asciiTheme="minorHAnsi" w:eastAsiaTheme="minorEastAsia" w:hAnsiTheme="minorHAnsi" w:cstheme="minorBidi"/>
          <w:b w:val="0"/>
          <w:noProof/>
          <w:sz w:val="22"/>
          <w:szCs w:val="22"/>
          <w:lang w:eastAsia="zh-CN"/>
        </w:rPr>
      </w:pPr>
      <w:hyperlink w:anchor="_Toc88218591" w:history="1">
        <w:r w:rsidR="00634E5C" w:rsidRPr="00A02938">
          <w:rPr>
            <w:rStyle w:val="Hyperlink"/>
            <w:noProof/>
          </w:rPr>
          <w:t>Table 3: Probe and primer sequences</w:t>
        </w:r>
        <w:r w:rsidR="00634E5C">
          <w:rPr>
            <w:noProof/>
            <w:webHidden/>
          </w:rPr>
          <w:tab/>
        </w:r>
        <w:r w:rsidR="00634E5C">
          <w:rPr>
            <w:noProof/>
            <w:webHidden/>
          </w:rPr>
          <w:fldChar w:fldCharType="begin"/>
        </w:r>
        <w:r w:rsidR="00634E5C">
          <w:rPr>
            <w:noProof/>
            <w:webHidden/>
          </w:rPr>
          <w:instrText xml:space="preserve"> PAGEREF _Toc88218591 \h </w:instrText>
        </w:r>
        <w:r w:rsidR="00634E5C">
          <w:rPr>
            <w:noProof/>
            <w:webHidden/>
          </w:rPr>
        </w:r>
        <w:r w:rsidR="00634E5C">
          <w:rPr>
            <w:noProof/>
            <w:webHidden/>
          </w:rPr>
          <w:fldChar w:fldCharType="separate"/>
        </w:r>
        <w:r w:rsidR="00CD04FC">
          <w:rPr>
            <w:noProof/>
            <w:webHidden/>
          </w:rPr>
          <w:t>49</w:t>
        </w:r>
        <w:r w:rsidR="00634E5C">
          <w:rPr>
            <w:noProof/>
            <w:webHidden/>
          </w:rPr>
          <w:fldChar w:fldCharType="end"/>
        </w:r>
      </w:hyperlink>
    </w:p>
    <w:p w14:paraId="1166BB9A" w14:textId="72206399" w:rsidR="00634E5C" w:rsidRDefault="003729D1">
      <w:pPr>
        <w:pStyle w:val="TableofFigures"/>
        <w:tabs>
          <w:tab w:val="right" w:leader="dot" w:pos="9350"/>
        </w:tabs>
        <w:rPr>
          <w:rFonts w:asciiTheme="minorHAnsi" w:eastAsiaTheme="minorEastAsia" w:hAnsiTheme="minorHAnsi" w:cstheme="minorBidi"/>
          <w:b w:val="0"/>
          <w:noProof/>
          <w:sz w:val="22"/>
          <w:szCs w:val="22"/>
          <w:lang w:eastAsia="zh-CN"/>
        </w:rPr>
      </w:pPr>
      <w:hyperlink w:anchor="_Toc88218592" w:history="1">
        <w:r w:rsidR="00634E5C" w:rsidRPr="00A02938">
          <w:rPr>
            <w:rStyle w:val="Hyperlink"/>
            <w:noProof/>
          </w:rPr>
          <w:t>Table 4: Results of positive labeling of tissue structures in rabbit and human VFs</w:t>
        </w:r>
        <w:r w:rsidR="00634E5C">
          <w:rPr>
            <w:noProof/>
            <w:webHidden/>
          </w:rPr>
          <w:tab/>
        </w:r>
        <w:r w:rsidR="00634E5C">
          <w:rPr>
            <w:noProof/>
            <w:webHidden/>
          </w:rPr>
          <w:fldChar w:fldCharType="begin"/>
        </w:r>
        <w:r w:rsidR="00634E5C">
          <w:rPr>
            <w:noProof/>
            <w:webHidden/>
          </w:rPr>
          <w:instrText xml:space="preserve"> PAGEREF _Toc88218592 \h </w:instrText>
        </w:r>
        <w:r w:rsidR="00634E5C">
          <w:rPr>
            <w:noProof/>
            <w:webHidden/>
          </w:rPr>
        </w:r>
        <w:r w:rsidR="00634E5C">
          <w:rPr>
            <w:noProof/>
            <w:webHidden/>
          </w:rPr>
          <w:fldChar w:fldCharType="separate"/>
        </w:r>
        <w:r w:rsidR="00CD04FC">
          <w:rPr>
            <w:noProof/>
            <w:webHidden/>
          </w:rPr>
          <w:t>58</w:t>
        </w:r>
        <w:r w:rsidR="00634E5C">
          <w:rPr>
            <w:noProof/>
            <w:webHidden/>
          </w:rPr>
          <w:fldChar w:fldCharType="end"/>
        </w:r>
      </w:hyperlink>
    </w:p>
    <w:p w14:paraId="0E659541" w14:textId="2D37B526" w:rsidR="001C7AFC" w:rsidRPr="001C7AFC" w:rsidRDefault="00CB03F9" w:rsidP="00C672EB">
      <w:pPr>
        <w:pStyle w:val="TableofFigures"/>
        <w:tabs>
          <w:tab w:val="right" w:leader="dot" w:pos="9350"/>
        </w:tabs>
        <w:rPr>
          <w:sz w:val="2"/>
          <w:szCs w:val="2"/>
        </w:rPr>
        <w:sectPr w:rsidR="001C7AFC" w:rsidRPr="001C7AFC" w:rsidSect="00107DBF">
          <w:footerReference w:type="default" r:id="rId14"/>
          <w:type w:val="continuous"/>
          <w:pgSz w:w="12240" w:h="15840"/>
          <w:pgMar w:top="1440" w:right="1440" w:bottom="1440" w:left="1440" w:header="720" w:footer="720" w:gutter="0"/>
          <w:pgNumType w:fmt="lowerRoman"/>
          <w:cols w:space="720"/>
          <w:docGrid w:linePitch="360"/>
        </w:sectPr>
      </w:pPr>
      <w:r>
        <w:fldChar w:fldCharType="end"/>
      </w:r>
    </w:p>
    <w:p w14:paraId="3F10CA68" w14:textId="2A64702D" w:rsidR="00C672EB" w:rsidRDefault="00C672EB" w:rsidP="00C672EB">
      <w:pPr>
        <w:pStyle w:val="TableofFigures"/>
        <w:tabs>
          <w:tab w:val="right" w:leader="dot" w:pos="9350"/>
        </w:tabs>
      </w:pPr>
    </w:p>
    <w:p w14:paraId="0231D0E0" w14:textId="77777777" w:rsidR="001C7AFC" w:rsidRPr="001C7AFC" w:rsidRDefault="001C7AFC" w:rsidP="001C7AFC"/>
    <w:p w14:paraId="4C26D3BA" w14:textId="77777777" w:rsidR="00B424B6" w:rsidRDefault="00B424B6" w:rsidP="00EB0892">
      <w:pPr>
        <w:pStyle w:val="Preliminary"/>
      </w:pPr>
      <w:r>
        <w:t xml:space="preserve">List of </w:t>
      </w:r>
      <w:r w:rsidR="00130B6B">
        <w:t>F</w:t>
      </w:r>
      <w:r>
        <w:t>igures</w:t>
      </w:r>
    </w:p>
    <w:p w14:paraId="3D3147E3" w14:textId="09173018" w:rsidR="00634E5C" w:rsidRDefault="00B424B6">
      <w:pPr>
        <w:pStyle w:val="TableofFigures"/>
        <w:tabs>
          <w:tab w:val="right" w:leader="dot" w:pos="9350"/>
        </w:tabs>
        <w:rPr>
          <w:rFonts w:asciiTheme="minorHAnsi" w:eastAsiaTheme="minorEastAsia" w:hAnsiTheme="minorHAnsi" w:cstheme="minorBidi"/>
          <w:b w:val="0"/>
          <w:noProof/>
          <w:sz w:val="22"/>
          <w:szCs w:val="22"/>
          <w:lang w:eastAsia="zh-CN"/>
        </w:rPr>
      </w:pPr>
      <w:r>
        <w:fldChar w:fldCharType="begin"/>
      </w:r>
      <w:r>
        <w:instrText xml:space="preserve"> TOC \h \z \c "Figure" </w:instrText>
      </w:r>
      <w:r>
        <w:fldChar w:fldCharType="separate"/>
      </w:r>
      <w:hyperlink w:anchor="_Toc88218594" w:history="1">
        <w:r w:rsidR="00634E5C" w:rsidRPr="003A773F">
          <w:rPr>
            <w:rStyle w:val="Hyperlink"/>
            <w:noProof/>
          </w:rPr>
          <w:t>Figure 1. Coronal-section of the larynx and VF</w:t>
        </w:r>
        <w:r w:rsidR="00634E5C">
          <w:rPr>
            <w:noProof/>
            <w:webHidden/>
          </w:rPr>
          <w:tab/>
        </w:r>
        <w:r w:rsidR="00634E5C">
          <w:rPr>
            <w:noProof/>
            <w:webHidden/>
          </w:rPr>
          <w:fldChar w:fldCharType="begin"/>
        </w:r>
        <w:r w:rsidR="00634E5C">
          <w:rPr>
            <w:noProof/>
            <w:webHidden/>
          </w:rPr>
          <w:instrText xml:space="preserve"> PAGEREF _Toc88218594 \h </w:instrText>
        </w:r>
        <w:r w:rsidR="00634E5C">
          <w:rPr>
            <w:noProof/>
            <w:webHidden/>
          </w:rPr>
        </w:r>
        <w:r w:rsidR="00634E5C">
          <w:rPr>
            <w:noProof/>
            <w:webHidden/>
          </w:rPr>
          <w:fldChar w:fldCharType="separate"/>
        </w:r>
        <w:r w:rsidR="00CD04FC">
          <w:rPr>
            <w:noProof/>
            <w:webHidden/>
          </w:rPr>
          <w:t>4</w:t>
        </w:r>
        <w:r w:rsidR="00634E5C">
          <w:rPr>
            <w:noProof/>
            <w:webHidden/>
          </w:rPr>
          <w:fldChar w:fldCharType="end"/>
        </w:r>
      </w:hyperlink>
    </w:p>
    <w:p w14:paraId="269F953A" w14:textId="6BEFA737" w:rsidR="00634E5C" w:rsidRDefault="003729D1">
      <w:pPr>
        <w:pStyle w:val="TableofFigures"/>
        <w:tabs>
          <w:tab w:val="right" w:leader="dot" w:pos="9350"/>
        </w:tabs>
        <w:rPr>
          <w:rFonts w:asciiTheme="minorHAnsi" w:eastAsiaTheme="minorEastAsia" w:hAnsiTheme="minorHAnsi" w:cstheme="minorBidi"/>
          <w:b w:val="0"/>
          <w:noProof/>
          <w:sz w:val="22"/>
          <w:szCs w:val="22"/>
          <w:lang w:eastAsia="zh-CN"/>
        </w:rPr>
      </w:pPr>
      <w:hyperlink w:anchor="_Toc88218595" w:history="1">
        <w:r w:rsidR="00634E5C" w:rsidRPr="003A773F">
          <w:rPr>
            <w:rStyle w:val="Hyperlink"/>
            <w:noProof/>
          </w:rPr>
          <w:t>Figure 2. Coronal-section of the VF SSE</w:t>
        </w:r>
        <w:r w:rsidR="00634E5C">
          <w:rPr>
            <w:noProof/>
            <w:webHidden/>
          </w:rPr>
          <w:tab/>
        </w:r>
        <w:r w:rsidR="00634E5C">
          <w:rPr>
            <w:noProof/>
            <w:webHidden/>
          </w:rPr>
          <w:fldChar w:fldCharType="begin"/>
        </w:r>
        <w:r w:rsidR="00634E5C">
          <w:rPr>
            <w:noProof/>
            <w:webHidden/>
          </w:rPr>
          <w:instrText xml:space="preserve"> PAGEREF _Toc88218595 \h </w:instrText>
        </w:r>
        <w:r w:rsidR="00634E5C">
          <w:rPr>
            <w:noProof/>
            <w:webHidden/>
          </w:rPr>
        </w:r>
        <w:r w:rsidR="00634E5C">
          <w:rPr>
            <w:noProof/>
            <w:webHidden/>
          </w:rPr>
          <w:fldChar w:fldCharType="separate"/>
        </w:r>
        <w:r w:rsidR="00CD04FC">
          <w:rPr>
            <w:noProof/>
            <w:webHidden/>
          </w:rPr>
          <w:t>6</w:t>
        </w:r>
        <w:r w:rsidR="00634E5C">
          <w:rPr>
            <w:noProof/>
            <w:webHidden/>
          </w:rPr>
          <w:fldChar w:fldCharType="end"/>
        </w:r>
      </w:hyperlink>
    </w:p>
    <w:p w14:paraId="532C89AB" w14:textId="5C3E66CF" w:rsidR="00634E5C" w:rsidRDefault="003729D1">
      <w:pPr>
        <w:pStyle w:val="TableofFigures"/>
        <w:tabs>
          <w:tab w:val="right" w:leader="dot" w:pos="9350"/>
        </w:tabs>
        <w:rPr>
          <w:rFonts w:asciiTheme="minorHAnsi" w:eastAsiaTheme="minorEastAsia" w:hAnsiTheme="minorHAnsi" w:cstheme="minorBidi"/>
          <w:b w:val="0"/>
          <w:noProof/>
          <w:sz w:val="22"/>
          <w:szCs w:val="22"/>
          <w:lang w:eastAsia="zh-CN"/>
        </w:rPr>
      </w:pPr>
      <w:hyperlink w:anchor="_Toc88218596" w:history="1">
        <w:r w:rsidR="00634E5C" w:rsidRPr="003A773F">
          <w:rPr>
            <w:rStyle w:val="Hyperlink"/>
            <w:noProof/>
          </w:rPr>
          <w:t>Figure 3. Cycle of phonation</w:t>
        </w:r>
        <w:r w:rsidR="00634E5C">
          <w:rPr>
            <w:noProof/>
            <w:webHidden/>
          </w:rPr>
          <w:tab/>
        </w:r>
        <w:r w:rsidR="00634E5C">
          <w:rPr>
            <w:noProof/>
            <w:webHidden/>
          </w:rPr>
          <w:fldChar w:fldCharType="begin"/>
        </w:r>
        <w:r w:rsidR="00634E5C">
          <w:rPr>
            <w:noProof/>
            <w:webHidden/>
          </w:rPr>
          <w:instrText xml:space="preserve"> PAGEREF _Toc88218596 \h </w:instrText>
        </w:r>
        <w:r w:rsidR="00634E5C">
          <w:rPr>
            <w:noProof/>
            <w:webHidden/>
          </w:rPr>
        </w:r>
        <w:r w:rsidR="00634E5C">
          <w:rPr>
            <w:noProof/>
            <w:webHidden/>
          </w:rPr>
          <w:fldChar w:fldCharType="separate"/>
        </w:r>
        <w:r w:rsidR="00CD04FC">
          <w:rPr>
            <w:noProof/>
            <w:webHidden/>
          </w:rPr>
          <w:t>9</w:t>
        </w:r>
        <w:r w:rsidR="00634E5C">
          <w:rPr>
            <w:noProof/>
            <w:webHidden/>
          </w:rPr>
          <w:fldChar w:fldCharType="end"/>
        </w:r>
      </w:hyperlink>
    </w:p>
    <w:p w14:paraId="6EAA366A" w14:textId="14C6516C" w:rsidR="00634E5C" w:rsidRDefault="003729D1">
      <w:pPr>
        <w:pStyle w:val="TableofFigures"/>
        <w:tabs>
          <w:tab w:val="right" w:leader="dot" w:pos="9350"/>
        </w:tabs>
        <w:rPr>
          <w:rFonts w:asciiTheme="minorHAnsi" w:eastAsiaTheme="minorEastAsia" w:hAnsiTheme="minorHAnsi" w:cstheme="minorBidi"/>
          <w:b w:val="0"/>
          <w:noProof/>
          <w:sz w:val="22"/>
          <w:szCs w:val="22"/>
          <w:lang w:eastAsia="zh-CN"/>
        </w:rPr>
      </w:pPr>
      <w:hyperlink w:anchor="_Toc88218597" w:history="1">
        <w:r w:rsidR="00634E5C" w:rsidRPr="003A773F">
          <w:rPr>
            <w:rStyle w:val="Hyperlink"/>
            <w:noProof/>
          </w:rPr>
          <w:t>Figure 4. Illustration of the inflammatory phase of wound healing</w:t>
        </w:r>
        <w:r w:rsidR="00634E5C">
          <w:rPr>
            <w:noProof/>
            <w:webHidden/>
          </w:rPr>
          <w:tab/>
        </w:r>
        <w:r w:rsidR="00634E5C">
          <w:rPr>
            <w:noProof/>
            <w:webHidden/>
          </w:rPr>
          <w:fldChar w:fldCharType="begin"/>
        </w:r>
        <w:r w:rsidR="00634E5C">
          <w:rPr>
            <w:noProof/>
            <w:webHidden/>
          </w:rPr>
          <w:instrText xml:space="preserve"> PAGEREF _Toc88218597 \h </w:instrText>
        </w:r>
        <w:r w:rsidR="00634E5C">
          <w:rPr>
            <w:noProof/>
            <w:webHidden/>
          </w:rPr>
        </w:r>
        <w:r w:rsidR="00634E5C">
          <w:rPr>
            <w:noProof/>
            <w:webHidden/>
          </w:rPr>
          <w:fldChar w:fldCharType="separate"/>
        </w:r>
        <w:r w:rsidR="00CD04FC">
          <w:rPr>
            <w:noProof/>
            <w:webHidden/>
          </w:rPr>
          <w:t>13</w:t>
        </w:r>
        <w:r w:rsidR="00634E5C">
          <w:rPr>
            <w:noProof/>
            <w:webHidden/>
          </w:rPr>
          <w:fldChar w:fldCharType="end"/>
        </w:r>
      </w:hyperlink>
    </w:p>
    <w:p w14:paraId="12F683C9" w14:textId="661C71A4" w:rsidR="00634E5C" w:rsidRDefault="003729D1">
      <w:pPr>
        <w:pStyle w:val="TableofFigures"/>
        <w:tabs>
          <w:tab w:val="right" w:leader="dot" w:pos="9350"/>
        </w:tabs>
        <w:rPr>
          <w:rFonts w:asciiTheme="minorHAnsi" w:eastAsiaTheme="minorEastAsia" w:hAnsiTheme="minorHAnsi" w:cstheme="minorBidi"/>
          <w:b w:val="0"/>
          <w:noProof/>
          <w:sz w:val="22"/>
          <w:szCs w:val="22"/>
          <w:lang w:eastAsia="zh-CN"/>
        </w:rPr>
      </w:pPr>
      <w:hyperlink w:anchor="_Toc88218598" w:history="1">
        <w:r w:rsidR="00634E5C" w:rsidRPr="003A773F">
          <w:rPr>
            <w:rStyle w:val="Hyperlink"/>
            <w:noProof/>
          </w:rPr>
          <w:t>Figure 5. Illustration of proliferation phase of wound healing</w:t>
        </w:r>
        <w:r w:rsidR="00634E5C">
          <w:rPr>
            <w:noProof/>
            <w:webHidden/>
          </w:rPr>
          <w:tab/>
        </w:r>
        <w:r w:rsidR="00634E5C">
          <w:rPr>
            <w:noProof/>
            <w:webHidden/>
          </w:rPr>
          <w:fldChar w:fldCharType="begin"/>
        </w:r>
        <w:r w:rsidR="00634E5C">
          <w:rPr>
            <w:noProof/>
            <w:webHidden/>
          </w:rPr>
          <w:instrText xml:space="preserve"> PAGEREF _Toc88218598 \h </w:instrText>
        </w:r>
        <w:r w:rsidR="00634E5C">
          <w:rPr>
            <w:noProof/>
            <w:webHidden/>
          </w:rPr>
        </w:r>
        <w:r w:rsidR="00634E5C">
          <w:rPr>
            <w:noProof/>
            <w:webHidden/>
          </w:rPr>
          <w:fldChar w:fldCharType="separate"/>
        </w:r>
        <w:r w:rsidR="00CD04FC">
          <w:rPr>
            <w:noProof/>
            <w:webHidden/>
          </w:rPr>
          <w:t>15</w:t>
        </w:r>
        <w:r w:rsidR="00634E5C">
          <w:rPr>
            <w:noProof/>
            <w:webHidden/>
          </w:rPr>
          <w:fldChar w:fldCharType="end"/>
        </w:r>
      </w:hyperlink>
    </w:p>
    <w:p w14:paraId="162A727D" w14:textId="04905F6A" w:rsidR="00634E5C" w:rsidRDefault="003729D1">
      <w:pPr>
        <w:pStyle w:val="TableofFigures"/>
        <w:tabs>
          <w:tab w:val="right" w:leader="dot" w:pos="9350"/>
        </w:tabs>
        <w:rPr>
          <w:rFonts w:asciiTheme="minorHAnsi" w:eastAsiaTheme="minorEastAsia" w:hAnsiTheme="minorHAnsi" w:cstheme="minorBidi"/>
          <w:b w:val="0"/>
          <w:noProof/>
          <w:sz w:val="22"/>
          <w:szCs w:val="22"/>
          <w:lang w:eastAsia="zh-CN"/>
        </w:rPr>
      </w:pPr>
      <w:hyperlink w:anchor="_Toc88218599" w:history="1">
        <w:r w:rsidR="00634E5C" w:rsidRPr="003A773F">
          <w:rPr>
            <w:rStyle w:val="Hyperlink"/>
            <w:noProof/>
          </w:rPr>
          <w:t>Figure 6. Remodeling phase of wound healing</w:t>
        </w:r>
        <w:r w:rsidR="00634E5C">
          <w:rPr>
            <w:noProof/>
            <w:webHidden/>
          </w:rPr>
          <w:tab/>
        </w:r>
        <w:r w:rsidR="00634E5C">
          <w:rPr>
            <w:noProof/>
            <w:webHidden/>
          </w:rPr>
          <w:fldChar w:fldCharType="begin"/>
        </w:r>
        <w:r w:rsidR="00634E5C">
          <w:rPr>
            <w:noProof/>
            <w:webHidden/>
          </w:rPr>
          <w:instrText xml:space="preserve"> PAGEREF _Toc88218599 \h </w:instrText>
        </w:r>
        <w:r w:rsidR="00634E5C">
          <w:rPr>
            <w:noProof/>
            <w:webHidden/>
          </w:rPr>
        </w:r>
        <w:r w:rsidR="00634E5C">
          <w:rPr>
            <w:noProof/>
            <w:webHidden/>
          </w:rPr>
          <w:fldChar w:fldCharType="separate"/>
        </w:r>
        <w:r w:rsidR="00CD04FC">
          <w:rPr>
            <w:noProof/>
            <w:webHidden/>
          </w:rPr>
          <w:t>16</w:t>
        </w:r>
        <w:r w:rsidR="00634E5C">
          <w:rPr>
            <w:noProof/>
            <w:webHidden/>
          </w:rPr>
          <w:fldChar w:fldCharType="end"/>
        </w:r>
      </w:hyperlink>
    </w:p>
    <w:p w14:paraId="7576EF49" w14:textId="3C506E54" w:rsidR="00634E5C" w:rsidRDefault="003729D1">
      <w:pPr>
        <w:pStyle w:val="TableofFigures"/>
        <w:tabs>
          <w:tab w:val="right" w:leader="dot" w:pos="9350"/>
        </w:tabs>
        <w:rPr>
          <w:rFonts w:asciiTheme="minorHAnsi" w:eastAsiaTheme="minorEastAsia" w:hAnsiTheme="minorHAnsi" w:cstheme="minorBidi"/>
          <w:b w:val="0"/>
          <w:noProof/>
          <w:sz w:val="22"/>
          <w:szCs w:val="22"/>
          <w:lang w:eastAsia="zh-CN"/>
        </w:rPr>
      </w:pPr>
      <w:hyperlink w:anchor="_Toc88218600" w:history="1">
        <w:r w:rsidR="00634E5C" w:rsidRPr="003A773F">
          <w:rPr>
            <w:rStyle w:val="Hyperlink"/>
            <w:noProof/>
          </w:rPr>
          <w:t>Figure 7. Illustration of the direct genomic mechanism of GCs</w:t>
        </w:r>
        <w:r w:rsidR="00634E5C">
          <w:rPr>
            <w:noProof/>
            <w:webHidden/>
          </w:rPr>
          <w:tab/>
        </w:r>
        <w:r w:rsidR="00634E5C">
          <w:rPr>
            <w:noProof/>
            <w:webHidden/>
          </w:rPr>
          <w:fldChar w:fldCharType="begin"/>
        </w:r>
        <w:r w:rsidR="00634E5C">
          <w:rPr>
            <w:noProof/>
            <w:webHidden/>
          </w:rPr>
          <w:instrText xml:space="preserve"> PAGEREF _Toc88218600 \h </w:instrText>
        </w:r>
        <w:r w:rsidR="00634E5C">
          <w:rPr>
            <w:noProof/>
            <w:webHidden/>
          </w:rPr>
        </w:r>
        <w:r w:rsidR="00634E5C">
          <w:rPr>
            <w:noProof/>
            <w:webHidden/>
          </w:rPr>
          <w:fldChar w:fldCharType="separate"/>
        </w:r>
        <w:r w:rsidR="00CD04FC">
          <w:rPr>
            <w:noProof/>
            <w:webHidden/>
          </w:rPr>
          <w:t>21</w:t>
        </w:r>
        <w:r w:rsidR="00634E5C">
          <w:rPr>
            <w:noProof/>
            <w:webHidden/>
          </w:rPr>
          <w:fldChar w:fldCharType="end"/>
        </w:r>
      </w:hyperlink>
    </w:p>
    <w:p w14:paraId="6EC6C777" w14:textId="0563649E" w:rsidR="00634E5C" w:rsidRDefault="003729D1">
      <w:pPr>
        <w:pStyle w:val="TableofFigures"/>
        <w:tabs>
          <w:tab w:val="right" w:leader="dot" w:pos="9350"/>
        </w:tabs>
        <w:rPr>
          <w:rFonts w:asciiTheme="minorHAnsi" w:eastAsiaTheme="minorEastAsia" w:hAnsiTheme="minorHAnsi" w:cstheme="minorBidi"/>
          <w:b w:val="0"/>
          <w:noProof/>
          <w:sz w:val="22"/>
          <w:szCs w:val="22"/>
          <w:lang w:eastAsia="zh-CN"/>
        </w:rPr>
      </w:pPr>
      <w:hyperlink w:anchor="_Toc88218601" w:history="1">
        <w:r w:rsidR="00634E5C" w:rsidRPr="003A773F">
          <w:rPr>
            <w:rStyle w:val="Hyperlink"/>
            <w:noProof/>
          </w:rPr>
          <w:t>Figure 8. Illustration of the indirect genomic mechanism of GCs</w:t>
        </w:r>
        <w:r w:rsidR="00634E5C">
          <w:rPr>
            <w:noProof/>
            <w:webHidden/>
          </w:rPr>
          <w:tab/>
        </w:r>
        <w:r w:rsidR="00634E5C">
          <w:rPr>
            <w:noProof/>
            <w:webHidden/>
          </w:rPr>
          <w:fldChar w:fldCharType="begin"/>
        </w:r>
        <w:r w:rsidR="00634E5C">
          <w:rPr>
            <w:noProof/>
            <w:webHidden/>
          </w:rPr>
          <w:instrText xml:space="preserve"> PAGEREF _Toc88218601 \h </w:instrText>
        </w:r>
        <w:r w:rsidR="00634E5C">
          <w:rPr>
            <w:noProof/>
            <w:webHidden/>
          </w:rPr>
        </w:r>
        <w:r w:rsidR="00634E5C">
          <w:rPr>
            <w:noProof/>
            <w:webHidden/>
          </w:rPr>
          <w:fldChar w:fldCharType="separate"/>
        </w:r>
        <w:r w:rsidR="00CD04FC">
          <w:rPr>
            <w:noProof/>
            <w:webHidden/>
          </w:rPr>
          <w:t>22</w:t>
        </w:r>
        <w:r w:rsidR="00634E5C">
          <w:rPr>
            <w:noProof/>
            <w:webHidden/>
          </w:rPr>
          <w:fldChar w:fldCharType="end"/>
        </w:r>
      </w:hyperlink>
    </w:p>
    <w:p w14:paraId="5ADF1B7C" w14:textId="16463E41" w:rsidR="00634E5C" w:rsidRDefault="003729D1">
      <w:pPr>
        <w:pStyle w:val="TableofFigures"/>
        <w:tabs>
          <w:tab w:val="right" w:leader="dot" w:pos="9350"/>
        </w:tabs>
        <w:rPr>
          <w:rFonts w:asciiTheme="minorHAnsi" w:eastAsiaTheme="minorEastAsia" w:hAnsiTheme="minorHAnsi" w:cstheme="minorBidi"/>
          <w:b w:val="0"/>
          <w:noProof/>
          <w:sz w:val="22"/>
          <w:szCs w:val="22"/>
          <w:lang w:eastAsia="zh-CN"/>
        </w:rPr>
      </w:pPr>
      <w:hyperlink w:anchor="_Toc88218602" w:history="1">
        <w:r w:rsidR="00634E5C" w:rsidRPr="003A773F">
          <w:rPr>
            <w:rStyle w:val="Hyperlink"/>
            <w:noProof/>
          </w:rPr>
          <w:t>Figure 9. Illustration of the non-genomic mechanism of GCs in the cell cytoplasm</w:t>
        </w:r>
        <w:r w:rsidR="00634E5C">
          <w:rPr>
            <w:noProof/>
            <w:webHidden/>
          </w:rPr>
          <w:tab/>
        </w:r>
        <w:r w:rsidR="00634E5C">
          <w:rPr>
            <w:noProof/>
            <w:webHidden/>
          </w:rPr>
          <w:fldChar w:fldCharType="begin"/>
        </w:r>
        <w:r w:rsidR="00634E5C">
          <w:rPr>
            <w:noProof/>
            <w:webHidden/>
          </w:rPr>
          <w:instrText xml:space="preserve"> PAGEREF _Toc88218602 \h </w:instrText>
        </w:r>
        <w:r w:rsidR="00634E5C">
          <w:rPr>
            <w:noProof/>
            <w:webHidden/>
          </w:rPr>
        </w:r>
        <w:r w:rsidR="00634E5C">
          <w:rPr>
            <w:noProof/>
            <w:webHidden/>
          </w:rPr>
          <w:fldChar w:fldCharType="separate"/>
        </w:r>
        <w:r w:rsidR="00CD04FC">
          <w:rPr>
            <w:noProof/>
            <w:webHidden/>
          </w:rPr>
          <w:t>23</w:t>
        </w:r>
        <w:r w:rsidR="00634E5C">
          <w:rPr>
            <w:noProof/>
            <w:webHidden/>
          </w:rPr>
          <w:fldChar w:fldCharType="end"/>
        </w:r>
      </w:hyperlink>
    </w:p>
    <w:p w14:paraId="3C2E5C9B" w14:textId="65D811C3" w:rsidR="00634E5C" w:rsidRDefault="003729D1">
      <w:pPr>
        <w:pStyle w:val="TableofFigures"/>
        <w:tabs>
          <w:tab w:val="right" w:leader="dot" w:pos="9350"/>
        </w:tabs>
        <w:rPr>
          <w:rFonts w:asciiTheme="minorHAnsi" w:eastAsiaTheme="minorEastAsia" w:hAnsiTheme="minorHAnsi" w:cstheme="minorBidi"/>
          <w:b w:val="0"/>
          <w:noProof/>
          <w:sz w:val="22"/>
          <w:szCs w:val="22"/>
          <w:lang w:eastAsia="zh-CN"/>
        </w:rPr>
      </w:pPr>
      <w:hyperlink w:anchor="_Toc88218603" w:history="1">
        <w:r w:rsidR="00634E5C" w:rsidRPr="003A773F">
          <w:rPr>
            <w:rStyle w:val="Hyperlink"/>
            <w:noProof/>
          </w:rPr>
          <w:t>Figure 10. Illustration of the non-genomic mechanism of GCs in the cell membrane</w:t>
        </w:r>
        <w:r w:rsidR="00634E5C">
          <w:rPr>
            <w:noProof/>
            <w:webHidden/>
          </w:rPr>
          <w:tab/>
        </w:r>
        <w:r w:rsidR="00634E5C">
          <w:rPr>
            <w:noProof/>
            <w:webHidden/>
          </w:rPr>
          <w:fldChar w:fldCharType="begin"/>
        </w:r>
        <w:r w:rsidR="00634E5C">
          <w:rPr>
            <w:noProof/>
            <w:webHidden/>
          </w:rPr>
          <w:instrText xml:space="preserve"> PAGEREF _Toc88218603 \h </w:instrText>
        </w:r>
        <w:r w:rsidR="00634E5C">
          <w:rPr>
            <w:noProof/>
            <w:webHidden/>
          </w:rPr>
        </w:r>
        <w:r w:rsidR="00634E5C">
          <w:rPr>
            <w:noProof/>
            <w:webHidden/>
          </w:rPr>
          <w:fldChar w:fldCharType="separate"/>
        </w:r>
        <w:r w:rsidR="00CD04FC">
          <w:rPr>
            <w:noProof/>
            <w:webHidden/>
          </w:rPr>
          <w:t>24</w:t>
        </w:r>
        <w:r w:rsidR="00634E5C">
          <w:rPr>
            <w:noProof/>
            <w:webHidden/>
          </w:rPr>
          <w:fldChar w:fldCharType="end"/>
        </w:r>
      </w:hyperlink>
    </w:p>
    <w:p w14:paraId="59A38A1D" w14:textId="648CAE04" w:rsidR="00634E5C" w:rsidRDefault="003729D1">
      <w:pPr>
        <w:pStyle w:val="TableofFigures"/>
        <w:tabs>
          <w:tab w:val="right" w:leader="dot" w:pos="9350"/>
        </w:tabs>
        <w:rPr>
          <w:rFonts w:asciiTheme="minorHAnsi" w:eastAsiaTheme="minorEastAsia" w:hAnsiTheme="minorHAnsi" w:cstheme="minorBidi"/>
          <w:b w:val="0"/>
          <w:noProof/>
          <w:sz w:val="22"/>
          <w:szCs w:val="22"/>
          <w:lang w:eastAsia="zh-CN"/>
        </w:rPr>
      </w:pPr>
      <w:hyperlink w:anchor="_Toc88218604" w:history="1">
        <w:r w:rsidR="00634E5C" w:rsidRPr="003A773F">
          <w:rPr>
            <w:rStyle w:val="Hyperlink"/>
            <w:noProof/>
          </w:rPr>
          <w:t>Figure 11. Inhibitory effect of GCs on protein synthesis and muscle growth</w:t>
        </w:r>
        <w:r w:rsidR="00634E5C">
          <w:rPr>
            <w:noProof/>
            <w:webHidden/>
          </w:rPr>
          <w:tab/>
        </w:r>
        <w:r w:rsidR="00634E5C">
          <w:rPr>
            <w:noProof/>
            <w:webHidden/>
          </w:rPr>
          <w:fldChar w:fldCharType="begin"/>
        </w:r>
        <w:r w:rsidR="00634E5C">
          <w:rPr>
            <w:noProof/>
            <w:webHidden/>
          </w:rPr>
          <w:instrText xml:space="preserve"> PAGEREF _Toc88218604 \h </w:instrText>
        </w:r>
        <w:r w:rsidR="00634E5C">
          <w:rPr>
            <w:noProof/>
            <w:webHidden/>
          </w:rPr>
        </w:r>
        <w:r w:rsidR="00634E5C">
          <w:rPr>
            <w:noProof/>
            <w:webHidden/>
          </w:rPr>
          <w:fldChar w:fldCharType="separate"/>
        </w:r>
        <w:r w:rsidR="00CD04FC">
          <w:rPr>
            <w:noProof/>
            <w:webHidden/>
          </w:rPr>
          <w:t>32</w:t>
        </w:r>
        <w:r w:rsidR="00634E5C">
          <w:rPr>
            <w:noProof/>
            <w:webHidden/>
          </w:rPr>
          <w:fldChar w:fldCharType="end"/>
        </w:r>
      </w:hyperlink>
    </w:p>
    <w:p w14:paraId="71F65246" w14:textId="11DD128E" w:rsidR="00634E5C" w:rsidRDefault="003729D1">
      <w:pPr>
        <w:pStyle w:val="TableofFigures"/>
        <w:tabs>
          <w:tab w:val="right" w:leader="dot" w:pos="9350"/>
        </w:tabs>
        <w:rPr>
          <w:rFonts w:asciiTheme="minorHAnsi" w:eastAsiaTheme="minorEastAsia" w:hAnsiTheme="minorHAnsi" w:cstheme="minorBidi"/>
          <w:b w:val="0"/>
          <w:noProof/>
          <w:sz w:val="22"/>
          <w:szCs w:val="22"/>
          <w:lang w:eastAsia="zh-CN"/>
        </w:rPr>
      </w:pPr>
      <w:hyperlink w:anchor="_Toc88218605" w:history="1">
        <w:r w:rsidR="00634E5C" w:rsidRPr="003A773F">
          <w:rPr>
            <w:rStyle w:val="Hyperlink"/>
            <w:noProof/>
            <w:lang w:eastAsia="ko-KR"/>
          </w:rPr>
          <w:t>Figure 12. Stimulatory effects of GCs on protein proteolysis and muscle degradation</w:t>
        </w:r>
        <w:r w:rsidR="00634E5C">
          <w:rPr>
            <w:noProof/>
            <w:webHidden/>
          </w:rPr>
          <w:tab/>
        </w:r>
        <w:r w:rsidR="00634E5C">
          <w:rPr>
            <w:noProof/>
            <w:webHidden/>
          </w:rPr>
          <w:fldChar w:fldCharType="begin"/>
        </w:r>
        <w:r w:rsidR="00634E5C">
          <w:rPr>
            <w:noProof/>
            <w:webHidden/>
          </w:rPr>
          <w:instrText xml:space="preserve"> PAGEREF _Toc88218605 \h </w:instrText>
        </w:r>
        <w:r w:rsidR="00634E5C">
          <w:rPr>
            <w:noProof/>
            <w:webHidden/>
          </w:rPr>
        </w:r>
        <w:r w:rsidR="00634E5C">
          <w:rPr>
            <w:noProof/>
            <w:webHidden/>
          </w:rPr>
          <w:fldChar w:fldCharType="separate"/>
        </w:r>
        <w:r w:rsidR="00CD04FC">
          <w:rPr>
            <w:noProof/>
            <w:webHidden/>
          </w:rPr>
          <w:t>33</w:t>
        </w:r>
        <w:r w:rsidR="00634E5C">
          <w:rPr>
            <w:noProof/>
            <w:webHidden/>
          </w:rPr>
          <w:fldChar w:fldCharType="end"/>
        </w:r>
      </w:hyperlink>
    </w:p>
    <w:p w14:paraId="11BF3C2C" w14:textId="2E18F661" w:rsidR="00634E5C" w:rsidRDefault="003729D1">
      <w:pPr>
        <w:pStyle w:val="TableofFigures"/>
        <w:tabs>
          <w:tab w:val="right" w:leader="dot" w:pos="9350"/>
        </w:tabs>
        <w:rPr>
          <w:rFonts w:asciiTheme="minorHAnsi" w:eastAsiaTheme="minorEastAsia" w:hAnsiTheme="minorHAnsi" w:cstheme="minorBidi"/>
          <w:b w:val="0"/>
          <w:noProof/>
          <w:sz w:val="22"/>
          <w:szCs w:val="22"/>
          <w:lang w:eastAsia="zh-CN"/>
        </w:rPr>
      </w:pPr>
      <w:hyperlink w:anchor="_Toc88218606" w:history="1">
        <w:r w:rsidR="00634E5C" w:rsidRPr="003A773F">
          <w:rPr>
            <w:rStyle w:val="Hyperlink"/>
            <w:noProof/>
          </w:rPr>
          <w:t>Figure 13. Percutaneous VF injection using the trans-cricothyroid membrane approach</w:t>
        </w:r>
        <w:r w:rsidR="00634E5C">
          <w:rPr>
            <w:noProof/>
            <w:webHidden/>
          </w:rPr>
          <w:tab/>
        </w:r>
        <w:r w:rsidR="00634E5C">
          <w:rPr>
            <w:noProof/>
            <w:webHidden/>
          </w:rPr>
          <w:fldChar w:fldCharType="begin"/>
        </w:r>
        <w:r w:rsidR="00634E5C">
          <w:rPr>
            <w:noProof/>
            <w:webHidden/>
          </w:rPr>
          <w:instrText xml:space="preserve"> PAGEREF _Toc88218606 \h </w:instrText>
        </w:r>
        <w:r w:rsidR="00634E5C">
          <w:rPr>
            <w:noProof/>
            <w:webHidden/>
          </w:rPr>
        </w:r>
        <w:r w:rsidR="00634E5C">
          <w:rPr>
            <w:noProof/>
            <w:webHidden/>
          </w:rPr>
          <w:fldChar w:fldCharType="separate"/>
        </w:r>
        <w:r w:rsidR="00CD04FC">
          <w:rPr>
            <w:noProof/>
            <w:webHidden/>
          </w:rPr>
          <w:t>40</w:t>
        </w:r>
        <w:r w:rsidR="00634E5C">
          <w:rPr>
            <w:noProof/>
            <w:webHidden/>
          </w:rPr>
          <w:fldChar w:fldCharType="end"/>
        </w:r>
      </w:hyperlink>
    </w:p>
    <w:p w14:paraId="70741775" w14:textId="2DA1314D" w:rsidR="00634E5C" w:rsidRDefault="003729D1">
      <w:pPr>
        <w:pStyle w:val="TableofFigures"/>
        <w:tabs>
          <w:tab w:val="right" w:leader="dot" w:pos="9350"/>
        </w:tabs>
        <w:rPr>
          <w:rFonts w:asciiTheme="minorHAnsi" w:eastAsiaTheme="minorEastAsia" w:hAnsiTheme="minorHAnsi" w:cstheme="minorBidi"/>
          <w:b w:val="0"/>
          <w:noProof/>
          <w:sz w:val="22"/>
          <w:szCs w:val="22"/>
          <w:lang w:eastAsia="zh-CN"/>
        </w:rPr>
      </w:pPr>
      <w:hyperlink w:anchor="_Toc88218607" w:history="1">
        <w:r w:rsidR="00634E5C" w:rsidRPr="003A773F">
          <w:rPr>
            <w:rStyle w:val="Hyperlink"/>
            <w:noProof/>
          </w:rPr>
          <w:t>Figure 14. Schematic of experimental paradigm for rabbits receiving intramuscular injections</w:t>
        </w:r>
        <w:r w:rsidR="00634E5C">
          <w:rPr>
            <w:noProof/>
            <w:webHidden/>
          </w:rPr>
          <w:tab/>
        </w:r>
        <w:r w:rsidR="00634E5C">
          <w:rPr>
            <w:noProof/>
            <w:webHidden/>
          </w:rPr>
          <w:fldChar w:fldCharType="begin"/>
        </w:r>
        <w:r w:rsidR="00634E5C">
          <w:rPr>
            <w:noProof/>
            <w:webHidden/>
          </w:rPr>
          <w:instrText xml:space="preserve"> PAGEREF _Toc88218607 \h </w:instrText>
        </w:r>
        <w:r w:rsidR="00634E5C">
          <w:rPr>
            <w:noProof/>
            <w:webHidden/>
          </w:rPr>
        </w:r>
        <w:r w:rsidR="00634E5C">
          <w:rPr>
            <w:noProof/>
            <w:webHidden/>
          </w:rPr>
          <w:fldChar w:fldCharType="separate"/>
        </w:r>
        <w:r w:rsidR="00CD04FC">
          <w:rPr>
            <w:noProof/>
            <w:webHidden/>
          </w:rPr>
          <w:t>41</w:t>
        </w:r>
        <w:r w:rsidR="00634E5C">
          <w:rPr>
            <w:noProof/>
            <w:webHidden/>
          </w:rPr>
          <w:fldChar w:fldCharType="end"/>
        </w:r>
      </w:hyperlink>
    </w:p>
    <w:p w14:paraId="30B4DB8A" w14:textId="74347BB7" w:rsidR="00634E5C" w:rsidRDefault="003729D1">
      <w:pPr>
        <w:pStyle w:val="TableofFigures"/>
        <w:tabs>
          <w:tab w:val="right" w:leader="dot" w:pos="9350"/>
        </w:tabs>
        <w:rPr>
          <w:rFonts w:asciiTheme="minorHAnsi" w:eastAsiaTheme="minorEastAsia" w:hAnsiTheme="minorHAnsi" w:cstheme="minorBidi"/>
          <w:b w:val="0"/>
          <w:noProof/>
          <w:sz w:val="22"/>
          <w:szCs w:val="22"/>
          <w:lang w:eastAsia="zh-CN"/>
        </w:rPr>
      </w:pPr>
      <w:hyperlink w:anchor="_Toc88218608" w:history="1">
        <w:r w:rsidR="00634E5C" w:rsidRPr="003A773F">
          <w:rPr>
            <w:rStyle w:val="Hyperlink"/>
            <w:noProof/>
          </w:rPr>
          <w:t>Figure 15. Schematic of experimental paradigm for rabbits receiving intracordal injections</w:t>
        </w:r>
        <w:r w:rsidR="00634E5C">
          <w:rPr>
            <w:noProof/>
            <w:webHidden/>
          </w:rPr>
          <w:tab/>
        </w:r>
        <w:r w:rsidR="00634E5C">
          <w:rPr>
            <w:noProof/>
            <w:webHidden/>
          </w:rPr>
          <w:fldChar w:fldCharType="begin"/>
        </w:r>
        <w:r w:rsidR="00634E5C">
          <w:rPr>
            <w:noProof/>
            <w:webHidden/>
          </w:rPr>
          <w:instrText xml:space="preserve"> PAGEREF _Toc88218608 \h </w:instrText>
        </w:r>
        <w:r w:rsidR="00634E5C">
          <w:rPr>
            <w:noProof/>
            <w:webHidden/>
          </w:rPr>
        </w:r>
        <w:r w:rsidR="00634E5C">
          <w:rPr>
            <w:noProof/>
            <w:webHidden/>
          </w:rPr>
          <w:fldChar w:fldCharType="separate"/>
        </w:r>
        <w:r w:rsidR="00CD04FC">
          <w:rPr>
            <w:noProof/>
            <w:webHidden/>
          </w:rPr>
          <w:t>42</w:t>
        </w:r>
        <w:r w:rsidR="00634E5C">
          <w:rPr>
            <w:noProof/>
            <w:webHidden/>
          </w:rPr>
          <w:fldChar w:fldCharType="end"/>
        </w:r>
      </w:hyperlink>
    </w:p>
    <w:p w14:paraId="255716AD" w14:textId="39FE9907" w:rsidR="00634E5C" w:rsidRDefault="003729D1">
      <w:pPr>
        <w:pStyle w:val="TableofFigures"/>
        <w:tabs>
          <w:tab w:val="right" w:leader="dot" w:pos="9350"/>
        </w:tabs>
        <w:rPr>
          <w:rFonts w:asciiTheme="minorHAnsi" w:eastAsiaTheme="minorEastAsia" w:hAnsiTheme="minorHAnsi" w:cstheme="minorBidi"/>
          <w:b w:val="0"/>
          <w:noProof/>
          <w:sz w:val="22"/>
          <w:szCs w:val="22"/>
          <w:lang w:eastAsia="zh-CN"/>
        </w:rPr>
      </w:pPr>
      <w:hyperlink w:anchor="_Toc88218609" w:history="1">
        <w:r w:rsidR="00634E5C" w:rsidRPr="003A773F">
          <w:rPr>
            <w:rStyle w:val="Hyperlink"/>
            <w:noProof/>
          </w:rPr>
          <w:t>Figure 16: qPCR with dual labeled 5’FAM, 3’TAMRA probes</w:t>
        </w:r>
        <w:r w:rsidR="00634E5C">
          <w:rPr>
            <w:noProof/>
            <w:webHidden/>
          </w:rPr>
          <w:tab/>
        </w:r>
        <w:r w:rsidR="00634E5C">
          <w:rPr>
            <w:noProof/>
            <w:webHidden/>
          </w:rPr>
          <w:fldChar w:fldCharType="begin"/>
        </w:r>
        <w:r w:rsidR="00634E5C">
          <w:rPr>
            <w:noProof/>
            <w:webHidden/>
          </w:rPr>
          <w:instrText xml:space="preserve"> PAGEREF _Toc88218609 \h </w:instrText>
        </w:r>
        <w:r w:rsidR="00634E5C">
          <w:rPr>
            <w:noProof/>
            <w:webHidden/>
          </w:rPr>
        </w:r>
        <w:r w:rsidR="00634E5C">
          <w:rPr>
            <w:noProof/>
            <w:webHidden/>
          </w:rPr>
          <w:fldChar w:fldCharType="separate"/>
        </w:r>
        <w:r w:rsidR="00CD04FC">
          <w:rPr>
            <w:noProof/>
            <w:webHidden/>
          </w:rPr>
          <w:t>49</w:t>
        </w:r>
        <w:r w:rsidR="00634E5C">
          <w:rPr>
            <w:noProof/>
            <w:webHidden/>
          </w:rPr>
          <w:fldChar w:fldCharType="end"/>
        </w:r>
      </w:hyperlink>
    </w:p>
    <w:p w14:paraId="190DA0A6" w14:textId="26B409F0" w:rsidR="00634E5C" w:rsidRDefault="003729D1">
      <w:pPr>
        <w:pStyle w:val="TableofFigures"/>
        <w:tabs>
          <w:tab w:val="right" w:leader="dot" w:pos="9350"/>
        </w:tabs>
        <w:rPr>
          <w:rFonts w:asciiTheme="minorHAnsi" w:eastAsiaTheme="minorEastAsia" w:hAnsiTheme="minorHAnsi" w:cstheme="minorBidi"/>
          <w:b w:val="0"/>
          <w:noProof/>
          <w:sz w:val="22"/>
          <w:szCs w:val="22"/>
          <w:lang w:eastAsia="zh-CN"/>
        </w:rPr>
      </w:pPr>
      <w:hyperlink w:anchor="_Toc88218610" w:history="1">
        <w:r w:rsidR="00634E5C" w:rsidRPr="003A773F">
          <w:rPr>
            <w:rStyle w:val="Hyperlink"/>
            <w:noProof/>
          </w:rPr>
          <w:t>Figure 17: Representative immunofluorescence images labeled for AQP1, 4, and 7.</w:t>
        </w:r>
        <w:r w:rsidR="00634E5C">
          <w:rPr>
            <w:noProof/>
            <w:webHidden/>
          </w:rPr>
          <w:tab/>
        </w:r>
        <w:r w:rsidR="00634E5C">
          <w:rPr>
            <w:noProof/>
            <w:webHidden/>
          </w:rPr>
          <w:fldChar w:fldCharType="begin"/>
        </w:r>
        <w:r w:rsidR="00634E5C">
          <w:rPr>
            <w:noProof/>
            <w:webHidden/>
          </w:rPr>
          <w:instrText xml:space="preserve"> PAGEREF _Toc88218610 \h </w:instrText>
        </w:r>
        <w:r w:rsidR="00634E5C">
          <w:rPr>
            <w:noProof/>
            <w:webHidden/>
          </w:rPr>
        </w:r>
        <w:r w:rsidR="00634E5C">
          <w:rPr>
            <w:noProof/>
            <w:webHidden/>
          </w:rPr>
          <w:fldChar w:fldCharType="separate"/>
        </w:r>
        <w:r w:rsidR="00CD04FC">
          <w:rPr>
            <w:noProof/>
            <w:webHidden/>
          </w:rPr>
          <w:t>53</w:t>
        </w:r>
        <w:r w:rsidR="00634E5C">
          <w:rPr>
            <w:noProof/>
            <w:webHidden/>
          </w:rPr>
          <w:fldChar w:fldCharType="end"/>
        </w:r>
      </w:hyperlink>
    </w:p>
    <w:p w14:paraId="3AD8C3D1" w14:textId="3E3D6E52" w:rsidR="00634E5C" w:rsidRDefault="003729D1">
      <w:pPr>
        <w:pStyle w:val="TableofFigures"/>
        <w:tabs>
          <w:tab w:val="right" w:leader="dot" w:pos="9350"/>
        </w:tabs>
        <w:rPr>
          <w:rFonts w:asciiTheme="minorHAnsi" w:eastAsiaTheme="minorEastAsia" w:hAnsiTheme="minorHAnsi" w:cstheme="minorBidi"/>
          <w:b w:val="0"/>
          <w:noProof/>
          <w:sz w:val="22"/>
          <w:szCs w:val="22"/>
          <w:lang w:eastAsia="zh-CN"/>
        </w:rPr>
      </w:pPr>
      <w:hyperlink w:anchor="_Toc88218611" w:history="1">
        <w:r w:rsidR="00634E5C" w:rsidRPr="003A773F">
          <w:rPr>
            <w:rStyle w:val="Hyperlink"/>
            <w:noProof/>
          </w:rPr>
          <w:t>Figure 18: Representative immunofluorescence images labeled for Na+/K+-ATPase.</w:t>
        </w:r>
        <w:r w:rsidR="00634E5C">
          <w:rPr>
            <w:noProof/>
            <w:webHidden/>
          </w:rPr>
          <w:tab/>
        </w:r>
        <w:r w:rsidR="00634E5C">
          <w:rPr>
            <w:noProof/>
            <w:webHidden/>
          </w:rPr>
          <w:fldChar w:fldCharType="begin"/>
        </w:r>
        <w:r w:rsidR="00634E5C">
          <w:rPr>
            <w:noProof/>
            <w:webHidden/>
          </w:rPr>
          <w:instrText xml:space="preserve"> PAGEREF _Toc88218611 \h </w:instrText>
        </w:r>
        <w:r w:rsidR="00634E5C">
          <w:rPr>
            <w:noProof/>
            <w:webHidden/>
          </w:rPr>
        </w:r>
        <w:r w:rsidR="00634E5C">
          <w:rPr>
            <w:noProof/>
            <w:webHidden/>
          </w:rPr>
          <w:fldChar w:fldCharType="separate"/>
        </w:r>
        <w:r w:rsidR="00CD04FC">
          <w:rPr>
            <w:noProof/>
            <w:webHidden/>
          </w:rPr>
          <w:t>55</w:t>
        </w:r>
        <w:r w:rsidR="00634E5C">
          <w:rPr>
            <w:noProof/>
            <w:webHidden/>
          </w:rPr>
          <w:fldChar w:fldCharType="end"/>
        </w:r>
      </w:hyperlink>
    </w:p>
    <w:p w14:paraId="28DCF5A7" w14:textId="79124559" w:rsidR="00634E5C" w:rsidRDefault="003729D1">
      <w:pPr>
        <w:pStyle w:val="TableofFigures"/>
        <w:tabs>
          <w:tab w:val="right" w:leader="dot" w:pos="9350"/>
        </w:tabs>
        <w:rPr>
          <w:rFonts w:asciiTheme="minorHAnsi" w:eastAsiaTheme="minorEastAsia" w:hAnsiTheme="minorHAnsi" w:cstheme="minorBidi"/>
          <w:b w:val="0"/>
          <w:noProof/>
          <w:sz w:val="22"/>
          <w:szCs w:val="22"/>
          <w:lang w:eastAsia="zh-CN"/>
        </w:rPr>
      </w:pPr>
      <w:hyperlink w:anchor="_Toc88218612" w:history="1">
        <w:r w:rsidR="00634E5C" w:rsidRPr="003A773F">
          <w:rPr>
            <w:rStyle w:val="Hyperlink"/>
            <w:noProof/>
          </w:rPr>
          <w:t>Figure 19: Representative immunofluorescence images labeled for E-cadherin, Occludinm, and ZO-1.</w:t>
        </w:r>
        <w:r w:rsidR="00634E5C">
          <w:rPr>
            <w:noProof/>
            <w:webHidden/>
          </w:rPr>
          <w:tab/>
        </w:r>
        <w:r w:rsidR="00634E5C">
          <w:rPr>
            <w:noProof/>
            <w:webHidden/>
          </w:rPr>
          <w:fldChar w:fldCharType="begin"/>
        </w:r>
        <w:r w:rsidR="00634E5C">
          <w:rPr>
            <w:noProof/>
            <w:webHidden/>
          </w:rPr>
          <w:instrText xml:space="preserve"> PAGEREF _Toc88218612 \h </w:instrText>
        </w:r>
        <w:r w:rsidR="00634E5C">
          <w:rPr>
            <w:noProof/>
            <w:webHidden/>
          </w:rPr>
        </w:r>
        <w:r w:rsidR="00634E5C">
          <w:rPr>
            <w:noProof/>
            <w:webHidden/>
          </w:rPr>
          <w:fldChar w:fldCharType="separate"/>
        </w:r>
        <w:r w:rsidR="00CD04FC">
          <w:rPr>
            <w:noProof/>
            <w:webHidden/>
          </w:rPr>
          <w:t>57</w:t>
        </w:r>
        <w:r w:rsidR="00634E5C">
          <w:rPr>
            <w:noProof/>
            <w:webHidden/>
          </w:rPr>
          <w:fldChar w:fldCharType="end"/>
        </w:r>
      </w:hyperlink>
    </w:p>
    <w:p w14:paraId="3FC8E182" w14:textId="60C8E6A8" w:rsidR="00634E5C" w:rsidRDefault="003729D1">
      <w:pPr>
        <w:pStyle w:val="TableofFigures"/>
        <w:tabs>
          <w:tab w:val="right" w:leader="dot" w:pos="9350"/>
        </w:tabs>
        <w:rPr>
          <w:rFonts w:asciiTheme="minorHAnsi" w:eastAsiaTheme="minorEastAsia" w:hAnsiTheme="minorHAnsi" w:cstheme="minorBidi"/>
          <w:b w:val="0"/>
          <w:noProof/>
          <w:sz w:val="22"/>
          <w:szCs w:val="22"/>
          <w:lang w:eastAsia="zh-CN"/>
        </w:rPr>
      </w:pPr>
      <w:hyperlink w:anchor="_Toc88218613" w:history="1">
        <w:r w:rsidR="00634E5C" w:rsidRPr="003A773F">
          <w:rPr>
            <w:rStyle w:val="Hyperlink"/>
            <w:noProof/>
          </w:rPr>
          <w:t>Figure 20: Scatter plots showing pre and post-treatment body mass (kg)</w:t>
        </w:r>
        <w:r w:rsidR="00634E5C">
          <w:rPr>
            <w:noProof/>
            <w:webHidden/>
          </w:rPr>
          <w:tab/>
        </w:r>
        <w:r w:rsidR="00634E5C">
          <w:rPr>
            <w:noProof/>
            <w:webHidden/>
          </w:rPr>
          <w:fldChar w:fldCharType="begin"/>
        </w:r>
        <w:r w:rsidR="00634E5C">
          <w:rPr>
            <w:noProof/>
            <w:webHidden/>
          </w:rPr>
          <w:instrText xml:space="preserve"> PAGEREF _Toc88218613 \h </w:instrText>
        </w:r>
        <w:r w:rsidR="00634E5C">
          <w:rPr>
            <w:noProof/>
            <w:webHidden/>
          </w:rPr>
        </w:r>
        <w:r w:rsidR="00634E5C">
          <w:rPr>
            <w:noProof/>
            <w:webHidden/>
          </w:rPr>
          <w:fldChar w:fldCharType="separate"/>
        </w:r>
        <w:r w:rsidR="00CD04FC">
          <w:rPr>
            <w:noProof/>
            <w:webHidden/>
          </w:rPr>
          <w:t>59</w:t>
        </w:r>
        <w:r w:rsidR="00634E5C">
          <w:rPr>
            <w:noProof/>
            <w:webHidden/>
          </w:rPr>
          <w:fldChar w:fldCharType="end"/>
        </w:r>
      </w:hyperlink>
    </w:p>
    <w:p w14:paraId="188009E7" w14:textId="0977FDA4" w:rsidR="00634E5C" w:rsidRDefault="003729D1">
      <w:pPr>
        <w:pStyle w:val="TableofFigures"/>
        <w:tabs>
          <w:tab w:val="right" w:leader="dot" w:pos="9350"/>
        </w:tabs>
        <w:rPr>
          <w:rFonts w:asciiTheme="minorHAnsi" w:eastAsiaTheme="minorEastAsia" w:hAnsiTheme="minorHAnsi" w:cstheme="minorBidi"/>
          <w:b w:val="0"/>
          <w:noProof/>
          <w:sz w:val="22"/>
          <w:szCs w:val="22"/>
          <w:lang w:eastAsia="zh-CN"/>
        </w:rPr>
      </w:pPr>
      <w:hyperlink w:anchor="_Toc88218614" w:history="1">
        <w:r w:rsidR="00634E5C" w:rsidRPr="003A773F">
          <w:rPr>
            <w:rStyle w:val="Hyperlink"/>
            <w:noProof/>
          </w:rPr>
          <w:t>Figure 21: H&amp;E stained TA muscle fibers and scatter plot</w:t>
        </w:r>
        <w:r w:rsidR="00634E5C">
          <w:rPr>
            <w:noProof/>
            <w:webHidden/>
          </w:rPr>
          <w:tab/>
        </w:r>
        <w:r w:rsidR="00634E5C">
          <w:rPr>
            <w:noProof/>
            <w:webHidden/>
          </w:rPr>
          <w:fldChar w:fldCharType="begin"/>
        </w:r>
        <w:r w:rsidR="00634E5C">
          <w:rPr>
            <w:noProof/>
            <w:webHidden/>
          </w:rPr>
          <w:instrText xml:space="preserve"> PAGEREF _Toc88218614 \h </w:instrText>
        </w:r>
        <w:r w:rsidR="00634E5C">
          <w:rPr>
            <w:noProof/>
            <w:webHidden/>
          </w:rPr>
        </w:r>
        <w:r w:rsidR="00634E5C">
          <w:rPr>
            <w:noProof/>
            <w:webHidden/>
          </w:rPr>
          <w:fldChar w:fldCharType="separate"/>
        </w:r>
        <w:r w:rsidR="00CD04FC">
          <w:rPr>
            <w:noProof/>
            <w:webHidden/>
          </w:rPr>
          <w:t>60</w:t>
        </w:r>
        <w:r w:rsidR="00634E5C">
          <w:rPr>
            <w:noProof/>
            <w:webHidden/>
          </w:rPr>
          <w:fldChar w:fldCharType="end"/>
        </w:r>
      </w:hyperlink>
    </w:p>
    <w:p w14:paraId="030895F3" w14:textId="476D42E8" w:rsidR="00634E5C" w:rsidRDefault="003729D1">
      <w:pPr>
        <w:pStyle w:val="TableofFigures"/>
        <w:tabs>
          <w:tab w:val="right" w:leader="dot" w:pos="9350"/>
        </w:tabs>
        <w:rPr>
          <w:rFonts w:asciiTheme="minorHAnsi" w:eastAsiaTheme="minorEastAsia" w:hAnsiTheme="minorHAnsi" w:cstheme="minorBidi"/>
          <w:b w:val="0"/>
          <w:noProof/>
          <w:sz w:val="22"/>
          <w:szCs w:val="22"/>
          <w:lang w:eastAsia="zh-CN"/>
        </w:rPr>
      </w:pPr>
      <w:hyperlink w:anchor="_Toc88218615" w:history="1">
        <w:r w:rsidR="00634E5C" w:rsidRPr="003A773F">
          <w:rPr>
            <w:rStyle w:val="Hyperlink"/>
            <w:noProof/>
          </w:rPr>
          <w:t>Figure 22: Immunofluorescence images of rabbit VF epithelium and LP layers.</w:t>
        </w:r>
        <w:r w:rsidR="00634E5C">
          <w:rPr>
            <w:noProof/>
            <w:webHidden/>
          </w:rPr>
          <w:tab/>
        </w:r>
        <w:r w:rsidR="00634E5C">
          <w:rPr>
            <w:noProof/>
            <w:webHidden/>
          </w:rPr>
          <w:fldChar w:fldCharType="begin"/>
        </w:r>
        <w:r w:rsidR="00634E5C">
          <w:rPr>
            <w:noProof/>
            <w:webHidden/>
          </w:rPr>
          <w:instrText xml:space="preserve"> PAGEREF _Toc88218615 \h </w:instrText>
        </w:r>
        <w:r w:rsidR="00634E5C">
          <w:rPr>
            <w:noProof/>
            <w:webHidden/>
          </w:rPr>
        </w:r>
        <w:r w:rsidR="00634E5C">
          <w:rPr>
            <w:noProof/>
            <w:webHidden/>
          </w:rPr>
          <w:fldChar w:fldCharType="separate"/>
        </w:r>
        <w:r w:rsidR="00CD04FC">
          <w:rPr>
            <w:noProof/>
            <w:webHidden/>
          </w:rPr>
          <w:t>61</w:t>
        </w:r>
        <w:r w:rsidR="00634E5C">
          <w:rPr>
            <w:noProof/>
            <w:webHidden/>
          </w:rPr>
          <w:fldChar w:fldCharType="end"/>
        </w:r>
      </w:hyperlink>
    </w:p>
    <w:p w14:paraId="7B6D3323" w14:textId="07ED5F1A" w:rsidR="00634E5C" w:rsidRDefault="003729D1">
      <w:pPr>
        <w:pStyle w:val="TableofFigures"/>
        <w:tabs>
          <w:tab w:val="right" w:leader="dot" w:pos="9350"/>
        </w:tabs>
        <w:rPr>
          <w:rFonts w:asciiTheme="minorHAnsi" w:eastAsiaTheme="minorEastAsia" w:hAnsiTheme="minorHAnsi" w:cstheme="minorBidi"/>
          <w:b w:val="0"/>
          <w:noProof/>
          <w:sz w:val="22"/>
          <w:szCs w:val="22"/>
          <w:lang w:eastAsia="zh-CN"/>
        </w:rPr>
      </w:pPr>
      <w:hyperlink w:anchor="_Toc88218616" w:history="1">
        <w:r w:rsidR="00634E5C" w:rsidRPr="003A773F">
          <w:rPr>
            <w:rStyle w:val="Hyperlink"/>
            <w:noProof/>
          </w:rPr>
          <w:t>Figure 23: H&amp;E stained TA muscle fibers and scatter plot</w:t>
        </w:r>
        <w:r w:rsidR="00634E5C">
          <w:rPr>
            <w:noProof/>
            <w:webHidden/>
          </w:rPr>
          <w:tab/>
        </w:r>
        <w:r w:rsidR="00634E5C">
          <w:rPr>
            <w:noProof/>
            <w:webHidden/>
          </w:rPr>
          <w:fldChar w:fldCharType="begin"/>
        </w:r>
        <w:r w:rsidR="00634E5C">
          <w:rPr>
            <w:noProof/>
            <w:webHidden/>
          </w:rPr>
          <w:instrText xml:space="preserve"> PAGEREF _Toc88218616 \h </w:instrText>
        </w:r>
        <w:r w:rsidR="00634E5C">
          <w:rPr>
            <w:noProof/>
            <w:webHidden/>
          </w:rPr>
        </w:r>
        <w:r w:rsidR="00634E5C">
          <w:rPr>
            <w:noProof/>
            <w:webHidden/>
          </w:rPr>
          <w:fldChar w:fldCharType="separate"/>
        </w:r>
        <w:r w:rsidR="00CD04FC">
          <w:rPr>
            <w:noProof/>
            <w:webHidden/>
          </w:rPr>
          <w:t>62</w:t>
        </w:r>
        <w:r w:rsidR="00634E5C">
          <w:rPr>
            <w:noProof/>
            <w:webHidden/>
          </w:rPr>
          <w:fldChar w:fldCharType="end"/>
        </w:r>
      </w:hyperlink>
    </w:p>
    <w:p w14:paraId="274FB7D6" w14:textId="42AE42DC" w:rsidR="00634E5C" w:rsidRDefault="003729D1">
      <w:pPr>
        <w:pStyle w:val="TableofFigures"/>
        <w:tabs>
          <w:tab w:val="right" w:leader="dot" w:pos="9350"/>
        </w:tabs>
        <w:rPr>
          <w:rFonts w:asciiTheme="minorHAnsi" w:eastAsiaTheme="minorEastAsia" w:hAnsiTheme="minorHAnsi" w:cstheme="minorBidi"/>
          <w:b w:val="0"/>
          <w:noProof/>
          <w:sz w:val="22"/>
          <w:szCs w:val="22"/>
          <w:lang w:eastAsia="zh-CN"/>
        </w:rPr>
      </w:pPr>
      <w:hyperlink w:anchor="_Toc88218617" w:history="1">
        <w:r w:rsidR="00634E5C" w:rsidRPr="003A773F">
          <w:rPr>
            <w:rStyle w:val="Hyperlink"/>
            <w:noProof/>
          </w:rPr>
          <w:t>Figure 24: MuRF-1 gene expression in VFs injected with dexamethasone, saline, and untreated controls</w:t>
        </w:r>
        <w:r w:rsidR="00634E5C">
          <w:rPr>
            <w:noProof/>
            <w:webHidden/>
          </w:rPr>
          <w:tab/>
        </w:r>
        <w:r w:rsidR="00634E5C">
          <w:rPr>
            <w:noProof/>
            <w:webHidden/>
          </w:rPr>
          <w:fldChar w:fldCharType="begin"/>
        </w:r>
        <w:r w:rsidR="00634E5C">
          <w:rPr>
            <w:noProof/>
            <w:webHidden/>
          </w:rPr>
          <w:instrText xml:space="preserve"> PAGEREF _Toc88218617 \h </w:instrText>
        </w:r>
        <w:r w:rsidR="00634E5C">
          <w:rPr>
            <w:noProof/>
            <w:webHidden/>
          </w:rPr>
        </w:r>
        <w:r w:rsidR="00634E5C">
          <w:rPr>
            <w:noProof/>
            <w:webHidden/>
          </w:rPr>
          <w:fldChar w:fldCharType="separate"/>
        </w:r>
        <w:r w:rsidR="00CD04FC">
          <w:rPr>
            <w:noProof/>
            <w:webHidden/>
          </w:rPr>
          <w:t>63</w:t>
        </w:r>
        <w:r w:rsidR="00634E5C">
          <w:rPr>
            <w:noProof/>
            <w:webHidden/>
          </w:rPr>
          <w:fldChar w:fldCharType="end"/>
        </w:r>
      </w:hyperlink>
    </w:p>
    <w:p w14:paraId="384C495C" w14:textId="07FEE267" w:rsidR="00634E5C" w:rsidRDefault="003729D1">
      <w:pPr>
        <w:pStyle w:val="TableofFigures"/>
        <w:tabs>
          <w:tab w:val="right" w:leader="dot" w:pos="9350"/>
        </w:tabs>
        <w:rPr>
          <w:rFonts w:asciiTheme="minorHAnsi" w:eastAsiaTheme="minorEastAsia" w:hAnsiTheme="minorHAnsi" w:cstheme="minorBidi"/>
          <w:b w:val="0"/>
          <w:noProof/>
          <w:sz w:val="22"/>
          <w:szCs w:val="22"/>
          <w:lang w:eastAsia="zh-CN"/>
        </w:rPr>
      </w:pPr>
      <w:hyperlink w:anchor="_Toc88218618" w:history="1">
        <w:r w:rsidR="00634E5C" w:rsidRPr="003A773F">
          <w:rPr>
            <w:rStyle w:val="Hyperlink"/>
            <w:noProof/>
          </w:rPr>
          <w:t>Figure 25: Atrogin-1 gene expression in VFs injected with dexamethasone, saline, and untreated controls</w:t>
        </w:r>
        <w:r w:rsidR="00634E5C">
          <w:rPr>
            <w:noProof/>
            <w:webHidden/>
          </w:rPr>
          <w:tab/>
        </w:r>
        <w:r w:rsidR="00634E5C">
          <w:rPr>
            <w:noProof/>
            <w:webHidden/>
          </w:rPr>
          <w:fldChar w:fldCharType="begin"/>
        </w:r>
        <w:r w:rsidR="00634E5C">
          <w:rPr>
            <w:noProof/>
            <w:webHidden/>
          </w:rPr>
          <w:instrText xml:space="preserve"> PAGEREF _Toc88218618 \h </w:instrText>
        </w:r>
        <w:r w:rsidR="00634E5C">
          <w:rPr>
            <w:noProof/>
            <w:webHidden/>
          </w:rPr>
        </w:r>
        <w:r w:rsidR="00634E5C">
          <w:rPr>
            <w:noProof/>
            <w:webHidden/>
          </w:rPr>
          <w:fldChar w:fldCharType="separate"/>
        </w:r>
        <w:r w:rsidR="00CD04FC">
          <w:rPr>
            <w:noProof/>
            <w:webHidden/>
          </w:rPr>
          <w:t>64</w:t>
        </w:r>
        <w:r w:rsidR="00634E5C">
          <w:rPr>
            <w:noProof/>
            <w:webHidden/>
          </w:rPr>
          <w:fldChar w:fldCharType="end"/>
        </w:r>
      </w:hyperlink>
    </w:p>
    <w:p w14:paraId="65FC80AE" w14:textId="61A7263C" w:rsidR="0094766A" w:rsidRPr="0094766A" w:rsidRDefault="00B424B6" w:rsidP="0094766A">
      <w:pPr>
        <w:pStyle w:val="TableofFigures"/>
        <w:tabs>
          <w:tab w:val="right" w:leader="dot" w:pos="9350"/>
        </w:tabs>
        <w:spacing w:line="240" w:lineRule="auto"/>
        <w:ind w:left="0" w:firstLine="0"/>
        <w:rPr>
          <w:rFonts w:ascii="Times New Roman Bold" w:hAnsi="Times New Roman Bold"/>
          <w:vanish/>
          <w:sz w:val="2"/>
        </w:rPr>
        <w:sectPr w:rsidR="0094766A" w:rsidRPr="0094766A" w:rsidSect="00107DBF">
          <w:type w:val="continuous"/>
          <w:pgSz w:w="12240" w:h="15840"/>
          <w:pgMar w:top="1440" w:right="1440" w:bottom="1440" w:left="1440" w:header="720" w:footer="720" w:gutter="0"/>
          <w:pgNumType w:fmt="lowerRoman"/>
          <w:cols w:space="720"/>
          <w:docGrid w:linePitch="360"/>
        </w:sectPr>
      </w:pPr>
      <w:r>
        <w:fldChar w:fldCharType="end"/>
      </w:r>
    </w:p>
    <w:p w14:paraId="59C645C0" w14:textId="0564BB8A" w:rsidR="00A30FA7" w:rsidRDefault="000E616F" w:rsidP="00A30FA7">
      <w:pPr>
        <w:pStyle w:val="Preliminary"/>
      </w:pPr>
      <w:bookmarkStart w:id="2" w:name="_Toc8115840"/>
      <w:r>
        <w:t>List of Abbreviations</w:t>
      </w:r>
    </w:p>
    <w:tbl>
      <w:tblPr>
        <w:tblW w:w="10720" w:type="dxa"/>
        <w:tblLook w:val="04A0" w:firstRow="1" w:lastRow="0" w:firstColumn="1" w:lastColumn="0" w:noHBand="0" w:noVBand="1"/>
      </w:tblPr>
      <w:tblGrid>
        <w:gridCol w:w="2250"/>
        <w:gridCol w:w="8470"/>
      </w:tblGrid>
      <w:tr w:rsidR="00A30FA7" w:rsidRPr="009C2B6E" w14:paraId="340CE560" w14:textId="77777777" w:rsidTr="009371A9">
        <w:trPr>
          <w:trHeight w:val="310"/>
        </w:trPr>
        <w:tc>
          <w:tcPr>
            <w:tcW w:w="2250" w:type="dxa"/>
            <w:tcBorders>
              <w:top w:val="nil"/>
              <w:left w:val="nil"/>
              <w:bottom w:val="nil"/>
              <w:right w:val="nil"/>
            </w:tcBorders>
            <w:shd w:val="clear" w:color="auto" w:fill="auto"/>
            <w:noWrap/>
            <w:vAlign w:val="bottom"/>
            <w:hideMark/>
          </w:tcPr>
          <w:p w14:paraId="53E2088C" w14:textId="77777777" w:rsidR="00A30FA7" w:rsidRPr="009C2B6E" w:rsidRDefault="00A30FA7" w:rsidP="00A30FA7">
            <w:pPr>
              <w:spacing w:line="240" w:lineRule="auto"/>
              <w:ind w:firstLine="0"/>
              <w:jc w:val="left"/>
              <w:rPr>
                <w:color w:val="000000"/>
              </w:rPr>
            </w:pPr>
            <w:r w:rsidRPr="009C2B6E">
              <w:rPr>
                <w:color w:val="000000"/>
              </w:rPr>
              <w:t>GC</w:t>
            </w:r>
          </w:p>
        </w:tc>
        <w:tc>
          <w:tcPr>
            <w:tcW w:w="8470" w:type="dxa"/>
            <w:tcBorders>
              <w:top w:val="nil"/>
              <w:left w:val="nil"/>
              <w:bottom w:val="nil"/>
              <w:right w:val="nil"/>
            </w:tcBorders>
            <w:shd w:val="clear" w:color="auto" w:fill="auto"/>
            <w:noWrap/>
            <w:vAlign w:val="bottom"/>
            <w:hideMark/>
          </w:tcPr>
          <w:p w14:paraId="216ED5CD" w14:textId="77777777" w:rsidR="00A30FA7" w:rsidRPr="009C2B6E" w:rsidRDefault="00A30FA7" w:rsidP="00A30FA7">
            <w:pPr>
              <w:spacing w:line="240" w:lineRule="auto"/>
              <w:ind w:firstLine="0"/>
              <w:jc w:val="left"/>
              <w:rPr>
                <w:color w:val="000000"/>
              </w:rPr>
            </w:pPr>
            <w:r w:rsidRPr="009C2B6E">
              <w:rPr>
                <w:color w:val="000000"/>
              </w:rPr>
              <w:t>Glucocorticoid</w:t>
            </w:r>
          </w:p>
        </w:tc>
      </w:tr>
      <w:tr w:rsidR="00A30FA7" w:rsidRPr="009C2B6E" w14:paraId="5E023686" w14:textId="77777777" w:rsidTr="009371A9">
        <w:trPr>
          <w:trHeight w:val="280"/>
        </w:trPr>
        <w:tc>
          <w:tcPr>
            <w:tcW w:w="2250" w:type="dxa"/>
            <w:tcBorders>
              <w:top w:val="nil"/>
              <w:left w:val="nil"/>
              <w:bottom w:val="nil"/>
              <w:right w:val="nil"/>
            </w:tcBorders>
            <w:shd w:val="clear" w:color="auto" w:fill="auto"/>
            <w:noWrap/>
            <w:vAlign w:val="bottom"/>
            <w:hideMark/>
          </w:tcPr>
          <w:p w14:paraId="6DC86DC9" w14:textId="77777777" w:rsidR="00A30FA7" w:rsidRPr="009C2B6E" w:rsidRDefault="00A30FA7" w:rsidP="00A30FA7">
            <w:pPr>
              <w:spacing w:line="240" w:lineRule="auto"/>
              <w:ind w:firstLine="0"/>
              <w:jc w:val="left"/>
              <w:rPr>
                <w:color w:val="000000"/>
              </w:rPr>
            </w:pPr>
            <w:r w:rsidRPr="009C2B6E">
              <w:rPr>
                <w:color w:val="000000"/>
              </w:rPr>
              <w:t>VF</w:t>
            </w:r>
          </w:p>
        </w:tc>
        <w:tc>
          <w:tcPr>
            <w:tcW w:w="8470" w:type="dxa"/>
            <w:tcBorders>
              <w:top w:val="nil"/>
              <w:left w:val="nil"/>
              <w:bottom w:val="nil"/>
              <w:right w:val="nil"/>
            </w:tcBorders>
            <w:shd w:val="clear" w:color="auto" w:fill="auto"/>
            <w:noWrap/>
            <w:vAlign w:val="bottom"/>
            <w:hideMark/>
          </w:tcPr>
          <w:p w14:paraId="3D28B706" w14:textId="77777777" w:rsidR="00A30FA7" w:rsidRPr="009C2B6E" w:rsidRDefault="00A30FA7" w:rsidP="00A30FA7">
            <w:pPr>
              <w:spacing w:line="240" w:lineRule="auto"/>
              <w:ind w:firstLine="0"/>
              <w:jc w:val="left"/>
              <w:rPr>
                <w:color w:val="000000"/>
              </w:rPr>
            </w:pPr>
            <w:r w:rsidRPr="009C2B6E">
              <w:rPr>
                <w:color w:val="000000"/>
              </w:rPr>
              <w:t>Vocal fold</w:t>
            </w:r>
          </w:p>
        </w:tc>
      </w:tr>
      <w:tr w:rsidR="00A30FA7" w:rsidRPr="009C2B6E" w14:paraId="05907E89" w14:textId="77777777" w:rsidTr="009371A9">
        <w:trPr>
          <w:trHeight w:val="310"/>
        </w:trPr>
        <w:tc>
          <w:tcPr>
            <w:tcW w:w="2250" w:type="dxa"/>
            <w:tcBorders>
              <w:top w:val="nil"/>
              <w:left w:val="nil"/>
              <w:bottom w:val="nil"/>
              <w:right w:val="nil"/>
            </w:tcBorders>
            <w:shd w:val="clear" w:color="auto" w:fill="auto"/>
            <w:noWrap/>
            <w:vAlign w:val="bottom"/>
            <w:hideMark/>
          </w:tcPr>
          <w:p w14:paraId="15F28840" w14:textId="77777777" w:rsidR="00A30FA7" w:rsidRPr="009C2B6E" w:rsidRDefault="00A30FA7" w:rsidP="00A30FA7">
            <w:pPr>
              <w:spacing w:line="240" w:lineRule="auto"/>
              <w:ind w:firstLine="0"/>
              <w:jc w:val="left"/>
              <w:rPr>
                <w:color w:val="000000"/>
              </w:rPr>
            </w:pPr>
            <w:r w:rsidRPr="009C2B6E">
              <w:rPr>
                <w:color w:val="000000"/>
              </w:rPr>
              <w:t>TA</w:t>
            </w:r>
          </w:p>
        </w:tc>
        <w:tc>
          <w:tcPr>
            <w:tcW w:w="8470" w:type="dxa"/>
            <w:tcBorders>
              <w:top w:val="nil"/>
              <w:left w:val="nil"/>
              <w:bottom w:val="nil"/>
              <w:right w:val="nil"/>
            </w:tcBorders>
            <w:shd w:val="clear" w:color="auto" w:fill="auto"/>
            <w:noWrap/>
            <w:vAlign w:val="bottom"/>
            <w:hideMark/>
          </w:tcPr>
          <w:p w14:paraId="1461C35D" w14:textId="77777777" w:rsidR="00A30FA7" w:rsidRPr="009C2B6E" w:rsidRDefault="00A30FA7" w:rsidP="00A30FA7">
            <w:pPr>
              <w:spacing w:line="240" w:lineRule="auto"/>
              <w:ind w:firstLine="0"/>
              <w:jc w:val="left"/>
              <w:rPr>
                <w:color w:val="000000"/>
              </w:rPr>
            </w:pPr>
            <w:r w:rsidRPr="009C2B6E">
              <w:rPr>
                <w:color w:val="000000"/>
              </w:rPr>
              <w:t>Thyroarytenoid</w:t>
            </w:r>
          </w:p>
        </w:tc>
      </w:tr>
      <w:tr w:rsidR="00A30FA7" w:rsidRPr="009C2B6E" w14:paraId="76BAD277" w14:textId="77777777" w:rsidTr="009371A9">
        <w:trPr>
          <w:trHeight w:val="310"/>
        </w:trPr>
        <w:tc>
          <w:tcPr>
            <w:tcW w:w="2250" w:type="dxa"/>
            <w:tcBorders>
              <w:top w:val="nil"/>
              <w:left w:val="nil"/>
              <w:bottom w:val="nil"/>
              <w:right w:val="nil"/>
            </w:tcBorders>
            <w:shd w:val="clear" w:color="auto" w:fill="auto"/>
            <w:noWrap/>
            <w:vAlign w:val="bottom"/>
            <w:hideMark/>
          </w:tcPr>
          <w:p w14:paraId="135306A5" w14:textId="77777777" w:rsidR="00A30FA7" w:rsidRPr="009C2B6E" w:rsidRDefault="00A30FA7" w:rsidP="00A30FA7">
            <w:pPr>
              <w:spacing w:line="240" w:lineRule="auto"/>
              <w:ind w:firstLine="0"/>
              <w:jc w:val="left"/>
              <w:rPr>
                <w:color w:val="000000"/>
              </w:rPr>
            </w:pPr>
            <w:r w:rsidRPr="009C2B6E">
              <w:rPr>
                <w:color w:val="000000"/>
              </w:rPr>
              <w:t>ECM</w:t>
            </w:r>
          </w:p>
        </w:tc>
        <w:tc>
          <w:tcPr>
            <w:tcW w:w="8470" w:type="dxa"/>
            <w:tcBorders>
              <w:top w:val="nil"/>
              <w:left w:val="nil"/>
              <w:bottom w:val="nil"/>
              <w:right w:val="nil"/>
            </w:tcBorders>
            <w:shd w:val="clear" w:color="auto" w:fill="auto"/>
            <w:noWrap/>
            <w:vAlign w:val="bottom"/>
            <w:hideMark/>
          </w:tcPr>
          <w:p w14:paraId="7332963F" w14:textId="77777777" w:rsidR="00A30FA7" w:rsidRPr="009C2B6E" w:rsidRDefault="00A30FA7" w:rsidP="00A30FA7">
            <w:pPr>
              <w:spacing w:line="240" w:lineRule="auto"/>
              <w:ind w:firstLine="0"/>
              <w:jc w:val="left"/>
              <w:rPr>
                <w:color w:val="000000"/>
              </w:rPr>
            </w:pPr>
            <w:r w:rsidRPr="009C2B6E">
              <w:rPr>
                <w:color w:val="000000"/>
              </w:rPr>
              <w:t xml:space="preserve">Extracellular matrix </w:t>
            </w:r>
          </w:p>
        </w:tc>
      </w:tr>
      <w:tr w:rsidR="00A30FA7" w:rsidRPr="009C2B6E" w14:paraId="58FC7B6D" w14:textId="77777777" w:rsidTr="009371A9">
        <w:trPr>
          <w:trHeight w:val="280"/>
        </w:trPr>
        <w:tc>
          <w:tcPr>
            <w:tcW w:w="2250" w:type="dxa"/>
            <w:tcBorders>
              <w:top w:val="nil"/>
              <w:left w:val="nil"/>
              <w:bottom w:val="nil"/>
              <w:right w:val="nil"/>
            </w:tcBorders>
            <w:shd w:val="clear" w:color="auto" w:fill="auto"/>
            <w:noWrap/>
            <w:vAlign w:val="bottom"/>
            <w:hideMark/>
          </w:tcPr>
          <w:p w14:paraId="78290880" w14:textId="77777777" w:rsidR="00A30FA7" w:rsidRPr="009C2B6E" w:rsidRDefault="00A30FA7" w:rsidP="00A30FA7">
            <w:pPr>
              <w:spacing w:line="240" w:lineRule="auto"/>
              <w:ind w:firstLine="0"/>
              <w:jc w:val="left"/>
              <w:rPr>
                <w:color w:val="000000"/>
              </w:rPr>
            </w:pPr>
            <w:r w:rsidRPr="009C2B6E">
              <w:rPr>
                <w:color w:val="000000"/>
              </w:rPr>
              <w:t>SSE</w:t>
            </w:r>
          </w:p>
        </w:tc>
        <w:tc>
          <w:tcPr>
            <w:tcW w:w="8470" w:type="dxa"/>
            <w:tcBorders>
              <w:top w:val="nil"/>
              <w:left w:val="nil"/>
              <w:bottom w:val="nil"/>
              <w:right w:val="nil"/>
            </w:tcBorders>
            <w:shd w:val="clear" w:color="auto" w:fill="auto"/>
            <w:noWrap/>
            <w:vAlign w:val="bottom"/>
            <w:hideMark/>
          </w:tcPr>
          <w:p w14:paraId="59381EA5" w14:textId="77777777" w:rsidR="00A30FA7" w:rsidRPr="009C2B6E" w:rsidRDefault="00A30FA7" w:rsidP="00A30FA7">
            <w:pPr>
              <w:spacing w:line="240" w:lineRule="auto"/>
              <w:ind w:firstLine="0"/>
              <w:jc w:val="left"/>
              <w:rPr>
                <w:color w:val="000000"/>
              </w:rPr>
            </w:pPr>
            <w:r w:rsidRPr="009C2B6E">
              <w:rPr>
                <w:color w:val="000000"/>
              </w:rPr>
              <w:t>Stratified squamous epithelial</w:t>
            </w:r>
          </w:p>
        </w:tc>
      </w:tr>
      <w:tr w:rsidR="00A30FA7" w:rsidRPr="009C2B6E" w14:paraId="5AA6C0F7" w14:textId="77777777" w:rsidTr="009371A9">
        <w:trPr>
          <w:trHeight w:val="310"/>
        </w:trPr>
        <w:tc>
          <w:tcPr>
            <w:tcW w:w="2250" w:type="dxa"/>
            <w:tcBorders>
              <w:top w:val="nil"/>
              <w:left w:val="nil"/>
              <w:bottom w:val="nil"/>
              <w:right w:val="nil"/>
            </w:tcBorders>
            <w:shd w:val="clear" w:color="auto" w:fill="auto"/>
            <w:noWrap/>
            <w:vAlign w:val="bottom"/>
            <w:hideMark/>
          </w:tcPr>
          <w:p w14:paraId="6917FC7B" w14:textId="77777777" w:rsidR="00A30FA7" w:rsidRPr="009C2B6E" w:rsidRDefault="00A30FA7" w:rsidP="00A30FA7">
            <w:pPr>
              <w:spacing w:line="240" w:lineRule="auto"/>
              <w:ind w:firstLine="0"/>
              <w:jc w:val="left"/>
              <w:rPr>
                <w:color w:val="000000"/>
              </w:rPr>
            </w:pPr>
            <w:r w:rsidRPr="009C2B6E">
              <w:rPr>
                <w:color w:val="000000"/>
              </w:rPr>
              <w:t>BMZ</w:t>
            </w:r>
          </w:p>
        </w:tc>
        <w:tc>
          <w:tcPr>
            <w:tcW w:w="8470" w:type="dxa"/>
            <w:tcBorders>
              <w:top w:val="nil"/>
              <w:left w:val="nil"/>
              <w:bottom w:val="nil"/>
              <w:right w:val="nil"/>
            </w:tcBorders>
            <w:shd w:val="clear" w:color="auto" w:fill="auto"/>
            <w:noWrap/>
            <w:vAlign w:val="bottom"/>
            <w:hideMark/>
          </w:tcPr>
          <w:p w14:paraId="583DEC80" w14:textId="77777777" w:rsidR="00A30FA7" w:rsidRPr="009C2B6E" w:rsidRDefault="00A30FA7" w:rsidP="00A30FA7">
            <w:pPr>
              <w:spacing w:line="240" w:lineRule="auto"/>
              <w:ind w:firstLine="0"/>
              <w:jc w:val="left"/>
              <w:rPr>
                <w:color w:val="000000"/>
              </w:rPr>
            </w:pPr>
            <w:r w:rsidRPr="009C2B6E">
              <w:rPr>
                <w:color w:val="000000"/>
              </w:rPr>
              <w:t xml:space="preserve">Basement membrane zone </w:t>
            </w:r>
          </w:p>
        </w:tc>
      </w:tr>
      <w:tr w:rsidR="00A30FA7" w:rsidRPr="009C2B6E" w14:paraId="381DF02D" w14:textId="77777777" w:rsidTr="009371A9">
        <w:trPr>
          <w:trHeight w:val="280"/>
        </w:trPr>
        <w:tc>
          <w:tcPr>
            <w:tcW w:w="2250" w:type="dxa"/>
            <w:tcBorders>
              <w:top w:val="nil"/>
              <w:left w:val="nil"/>
              <w:bottom w:val="nil"/>
              <w:right w:val="nil"/>
            </w:tcBorders>
            <w:shd w:val="clear" w:color="auto" w:fill="auto"/>
            <w:noWrap/>
            <w:vAlign w:val="bottom"/>
            <w:hideMark/>
          </w:tcPr>
          <w:p w14:paraId="4A45B519" w14:textId="77777777" w:rsidR="00A30FA7" w:rsidRPr="009C2B6E" w:rsidRDefault="00A30FA7" w:rsidP="00A30FA7">
            <w:pPr>
              <w:spacing w:line="240" w:lineRule="auto"/>
              <w:ind w:firstLine="0"/>
              <w:jc w:val="left"/>
              <w:rPr>
                <w:color w:val="000000"/>
              </w:rPr>
            </w:pPr>
            <w:r w:rsidRPr="009C2B6E">
              <w:rPr>
                <w:color w:val="000000"/>
              </w:rPr>
              <w:t>LP</w:t>
            </w:r>
          </w:p>
        </w:tc>
        <w:tc>
          <w:tcPr>
            <w:tcW w:w="8470" w:type="dxa"/>
            <w:tcBorders>
              <w:top w:val="nil"/>
              <w:left w:val="nil"/>
              <w:bottom w:val="nil"/>
              <w:right w:val="nil"/>
            </w:tcBorders>
            <w:shd w:val="clear" w:color="auto" w:fill="auto"/>
            <w:noWrap/>
            <w:vAlign w:val="bottom"/>
            <w:hideMark/>
          </w:tcPr>
          <w:p w14:paraId="6F41531A" w14:textId="77777777" w:rsidR="00A30FA7" w:rsidRPr="009C2B6E" w:rsidRDefault="00A30FA7" w:rsidP="00A30FA7">
            <w:pPr>
              <w:spacing w:line="240" w:lineRule="auto"/>
              <w:ind w:firstLine="0"/>
              <w:jc w:val="left"/>
              <w:rPr>
                <w:color w:val="000000"/>
              </w:rPr>
            </w:pPr>
            <w:r w:rsidRPr="009C2B6E">
              <w:rPr>
                <w:color w:val="000000"/>
              </w:rPr>
              <w:t xml:space="preserve">Lamina propria </w:t>
            </w:r>
          </w:p>
        </w:tc>
      </w:tr>
      <w:tr w:rsidR="00A30FA7" w:rsidRPr="009C2B6E" w14:paraId="267687D5" w14:textId="77777777" w:rsidTr="009371A9">
        <w:trPr>
          <w:trHeight w:val="310"/>
        </w:trPr>
        <w:tc>
          <w:tcPr>
            <w:tcW w:w="2250" w:type="dxa"/>
            <w:tcBorders>
              <w:top w:val="nil"/>
              <w:left w:val="nil"/>
              <w:bottom w:val="nil"/>
              <w:right w:val="nil"/>
            </w:tcBorders>
            <w:shd w:val="clear" w:color="auto" w:fill="auto"/>
            <w:noWrap/>
            <w:vAlign w:val="bottom"/>
            <w:hideMark/>
          </w:tcPr>
          <w:p w14:paraId="6F93BF31" w14:textId="77777777" w:rsidR="00A30FA7" w:rsidRPr="009C2B6E" w:rsidRDefault="00A30FA7" w:rsidP="00A30FA7">
            <w:pPr>
              <w:spacing w:line="240" w:lineRule="auto"/>
              <w:ind w:firstLine="0"/>
              <w:jc w:val="left"/>
              <w:rPr>
                <w:color w:val="000000"/>
              </w:rPr>
            </w:pPr>
            <w:r w:rsidRPr="009C2B6E">
              <w:rPr>
                <w:color w:val="000000"/>
              </w:rPr>
              <w:t>Na+/K+-ATPase</w:t>
            </w:r>
          </w:p>
        </w:tc>
        <w:tc>
          <w:tcPr>
            <w:tcW w:w="8470" w:type="dxa"/>
            <w:tcBorders>
              <w:top w:val="nil"/>
              <w:left w:val="nil"/>
              <w:bottom w:val="nil"/>
              <w:right w:val="nil"/>
            </w:tcBorders>
            <w:shd w:val="clear" w:color="auto" w:fill="auto"/>
            <w:noWrap/>
            <w:vAlign w:val="bottom"/>
            <w:hideMark/>
          </w:tcPr>
          <w:p w14:paraId="121ABAA2" w14:textId="77777777" w:rsidR="00A30FA7" w:rsidRPr="009C2B6E" w:rsidRDefault="00A30FA7" w:rsidP="00A30FA7">
            <w:pPr>
              <w:spacing w:line="240" w:lineRule="auto"/>
              <w:ind w:firstLine="0"/>
              <w:jc w:val="left"/>
              <w:rPr>
                <w:color w:val="000000"/>
              </w:rPr>
            </w:pPr>
            <w:r w:rsidRPr="009C2B6E">
              <w:rPr>
                <w:color w:val="000000"/>
              </w:rPr>
              <w:t xml:space="preserve">Sodium-potassium adenosine triphosphatase </w:t>
            </w:r>
          </w:p>
        </w:tc>
      </w:tr>
      <w:tr w:rsidR="00A30FA7" w:rsidRPr="009C2B6E" w14:paraId="0778CD14" w14:textId="77777777" w:rsidTr="009371A9">
        <w:trPr>
          <w:trHeight w:val="280"/>
        </w:trPr>
        <w:tc>
          <w:tcPr>
            <w:tcW w:w="2250" w:type="dxa"/>
            <w:tcBorders>
              <w:top w:val="nil"/>
              <w:left w:val="nil"/>
              <w:bottom w:val="nil"/>
              <w:right w:val="nil"/>
            </w:tcBorders>
            <w:shd w:val="clear" w:color="auto" w:fill="auto"/>
            <w:noWrap/>
            <w:vAlign w:val="bottom"/>
            <w:hideMark/>
          </w:tcPr>
          <w:p w14:paraId="2C45CBF3" w14:textId="77777777" w:rsidR="00A30FA7" w:rsidRPr="009C2B6E" w:rsidRDefault="00A30FA7" w:rsidP="00A30FA7">
            <w:pPr>
              <w:spacing w:line="240" w:lineRule="auto"/>
              <w:ind w:firstLine="0"/>
              <w:jc w:val="left"/>
              <w:rPr>
                <w:color w:val="000000"/>
              </w:rPr>
            </w:pPr>
            <w:r w:rsidRPr="009C2B6E">
              <w:rPr>
                <w:color w:val="000000"/>
              </w:rPr>
              <w:t>AQP</w:t>
            </w:r>
          </w:p>
        </w:tc>
        <w:tc>
          <w:tcPr>
            <w:tcW w:w="8470" w:type="dxa"/>
            <w:tcBorders>
              <w:top w:val="nil"/>
              <w:left w:val="nil"/>
              <w:bottom w:val="nil"/>
              <w:right w:val="nil"/>
            </w:tcBorders>
            <w:shd w:val="clear" w:color="auto" w:fill="auto"/>
            <w:noWrap/>
            <w:vAlign w:val="bottom"/>
            <w:hideMark/>
          </w:tcPr>
          <w:p w14:paraId="0CADED64" w14:textId="77777777" w:rsidR="00A30FA7" w:rsidRPr="009C2B6E" w:rsidRDefault="00A30FA7" w:rsidP="00A30FA7">
            <w:pPr>
              <w:spacing w:line="240" w:lineRule="auto"/>
              <w:ind w:firstLine="0"/>
              <w:jc w:val="left"/>
              <w:rPr>
                <w:color w:val="000000"/>
              </w:rPr>
            </w:pPr>
            <w:r w:rsidRPr="009C2B6E">
              <w:rPr>
                <w:color w:val="000000"/>
              </w:rPr>
              <w:t>Aquaporin</w:t>
            </w:r>
          </w:p>
        </w:tc>
      </w:tr>
      <w:tr w:rsidR="00A30FA7" w:rsidRPr="009C2B6E" w14:paraId="3E31F32F" w14:textId="77777777" w:rsidTr="009371A9">
        <w:trPr>
          <w:trHeight w:val="280"/>
        </w:trPr>
        <w:tc>
          <w:tcPr>
            <w:tcW w:w="2250" w:type="dxa"/>
            <w:tcBorders>
              <w:top w:val="nil"/>
              <w:left w:val="nil"/>
              <w:bottom w:val="nil"/>
              <w:right w:val="nil"/>
            </w:tcBorders>
            <w:shd w:val="clear" w:color="auto" w:fill="auto"/>
            <w:noWrap/>
            <w:vAlign w:val="bottom"/>
            <w:hideMark/>
          </w:tcPr>
          <w:p w14:paraId="40603123" w14:textId="77777777" w:rsidR="00A30FA7" w:rsidRPr="009C2B6E" w:rsidRDefault="00A30FA7" w:rsidP="00A30FA7">
            <w:pPr>
              <w:spacing w:line="240" w:lineRule="auto"/>
              <w:ind w:firstLine="0"/>
              <w:jc w:val="left"/>
              <w:rPr>
                <w:color w:val="000000"/>
              </w:rPr>
            </w:pPr>
            <w:r w:rsidRPr="009C2B6E">
              <w:rPr>
                <w:color w:val="000000"/>
              </w:rPr>
              <w:t>TJ</w:t>
            </w:r>
          </w:p>
        </w:tc>
        <w:tc>
          <w:tcPr>
            <w:tcW w:w="8470" w:type="dxa"/>
            <w:tcBorders>
              <w:top w:val="nil"/>
              <w:left w:val="nil"/>
              <w:bottom w:val="nil"/>
              <w:right w:val="nil"/>
            </w:tcBorders>
            <w:shd w:val="clear" w:color="auto" w:fill="auto"/>
            <w:noWrap/>
            <w:vAlign w:val="bottom"/>
            <w:hideMark/>
          </w:tcPr>
          <w:p w14:paraId="4549E062" w14:textId="7C0CA9FA" w:rsidR="00A30FA7" w:rsidRPr="009C2B6E" w:rsidRDefault="00A30FA7" w:rsidP="00A30FA7">
            <w:pPr>
              <w:spacing w:line="240" w:lineRule="auto"/>
              <w:ind w:firstLine="0"/>
              <w:jc w:val="left"/>
              <w:rPr>
                <w:color w:val="000000"/>
              </w:rPr>
            </w:pPr>
            <w:r w:rsidRPr="009C2B6E">
              <w:rPr>
                <w:color w:val="000000"/>
              </w:rPr>
              <w:t>Tight junction</w:t>
            </w:r>
          </w:p>
        </w:tc>
      </w:tr>
      <w:tr w:rsidR="00A30FA7" w:rsidRPr="009C2B6E" w14:paraId="6C6ACD2A" w14:textId="77777777" w:rsidTr="009371A9">
        <w:trPr>
          <w:trHeight w:val="280"/>
        </w:trPr>
        <w:tc>
          <w:tcPr>
            <w:tcW w:w="2250" w:type="dxa"/>
            <w:tcBorders>
              <w:top w:val="nil"/>
              <w:left w:val="nil"/>
              <w:bottom w:val="nil"/>
              <w:right w:val="nil"/>
            </w:tcBorders>
            <w:shd w:val="clear" w:color="auto" w:fill="auto"/>
            <w:noWrap/>
            <w:vAlign w:val="bottom"/>
            <w:hideMark/>
          </w:tcPr>
          <w:p w14:paraId="1D4B14EA" w14:textId="77777777" w:rsidR="00A30FA7" w:rsidRPr="009C2B6E" w:rsidRDefault="00A30FA7" w:rsidP="00A30FA7">
            <w:pPr>
              <w:spacing w:line="240" w:lineRule="auto"/>
              <w:ind w:firstLine="0"/>
              <w:jc w:val="left"/>
              <w:rPr>
                <w:color w:val="000000"/>
              </w:rPr>
            </w:pPr>
            <w:r w:rsidRPr="009C2B6E">
              <w:rPr>
                <w:color w:val="000000"/>
              </w:rPr>
              <w:t>AJ</w:t>
            </w:r>
          </w:p>
        </w:tc>
        <w:tc>
          <w:tcPr>
            <w:tcW w:w="8470" w:type="dxa"/>
            <w:tcBorders>
              <w:top w:val="nil"/>
              <w:left w:val="nil"/>
              <w:bottom w:val="nil"/>
              <w:right w:val="nil"/>
            </w:tcBorders>
            <w:shd w:val="clear" w:color="auto" w:fill="auto"/>
            <w:noWrap/>
            <w:vAlign w:val="bottom"/>
            <w:hideMark/>
          </w:tcPr>
          <w:p w14:paraId="646E0961" w14:textId="4D613F58" w:rsidR="00A30FA7" w:rsidRPr="009C2B6E" w:rsidRDefault="00A30FA7" w:rsidP="00A30FA7">
            <w:pPr>
              <w:spacing w:line="240" w:lineRule="auto"/>
              <w:ind w:firstLine="0"/>
              <w:jc w:val="left"/>
              <w:rPr>
                <w:color w:val="000000"/>
              </w:rPr>
            </w:pPr>
            <w:r w:rsidRPr="009C2B6E">
              <w:rPr>
                <w:color w:val="000000"/>
              </w:rPr>
              <w:t xml:space="preserve">Anchoring junction </w:t>
            </w:r>
          </w:p>
        </w:tc>
      </w:tr>
      <w:tr w:rsidR="00A30FA7" w:rsidRPr="009C2B6E" w14:paraId="20A0183C" w14:textId="77777777" w:rsidTr="009371A9">
        <w:trPr>
          <w:trHeight w:val="280"/>
        </w:trPr>
        <w:tc>
          <w:tcPr>
            <w:tcW w:w="2250" w:type="dxa"/>
            <w:tcBorders>
              <w:top w:val="nil"/>
              <w:left w:val="nil"/>
              <w:bottom w:val="nil"/>
              <w:right w:val="nil"/>
            </w:tcBorders>
            <w:shd w:val="clear" w:color="auto" w:fill="auto"/>
            <w:noWrap/>
            <w:vAlign w:val="bottom"/>
            <w:hideMark/>
          </w:tcPr>
          <w:p w14:paraId="584DB8EC" w14:textId="77777777" w:rsidR="00A30FA7" w:rsidRPr="009C2B6E" w:rsidRDefault="00A30FA7" w:rsidP="00A30FA7">
            <w:pPr>
              <w:spacing w:line="240" w:lineRule="auto"/>
              <w:ind w:firstLine="0"/>
              <w:jc w:val="left"/>
              <w:rPr>
                <w:color w:val="000000"/>
              </w:rPr>
            </w:pPr>
            <w:r w:rsidRPr="009C2B6E">
              <w:rPr>
                <w:color w:val="000000"/>
              </w:rPr>
              <w:t>ZO-1</w:t>
            </w:r>
          </w:p>
        </w:tc>
        <w:tc>
          <w:tcPr>
            <w:tcW w:w="8470" w:type="dxa"/>
            <w:tcBorders>
              <w:top w:val="nil"/>
              <w:left w:val="nil"/>
              <w:bottom w:val="nil"/>
              <w:right w:val="nil"/>
            </w:tcBorders>
            <w:shd w:val="clear" w:color="auto" w:fill="auto"/>
            <w:noWrap/>
            <w:vAlign w:val="bottom"/>
            <w:hideMark/>
          </w:tcPr>
          <w:p w14:paraId="38BC0888" w14:textId="77777777" w:rsidR="00A30FA7" w:rsidRPr="009C2B6E" w:rsidRDefault="00A30FA7" w:rsidP="00A30FA7">
            <w:pPr>
              <w:spacing w:line="240" w:lineRule="auto"/>
              <w:ind w:firstLine="0"/>
              <w:jc w:val="left"/>
              <w:rPr>
                <w:color w:val="000000"/>
              </w:rPr>
            </w:pPr>
            <w:r w:rsidRPr="009C2B6E">
              <w:rPr>
                <w:color w:val="000000"/>
              </w:rPr>
              <w:t>Zonula occludin-1</w:t>
            </w:r>
          </w:p>
        </w:tc>
      </w:tr>
      <w:tr w:rsidR="00A30FA7" w:rsidRPr="009C2B6E" w14:paraId="30F21606" w14:textId="77777777" w:rsidTr="009371A9">
        <w:trPr>
          <w:trHeight w:val="310"/>
        </w:trPr>
        <w:tc>
          <w:tcPr>
            <w:tcW w:w="2250" w:type="dxa"/>
            <w:tcBorders>
              <w:top w:val="nil"/>
              <w:left w:val="nil"/>
              <w:bottom w:val="nil"/>
              <w:right w:val="nil"/>
            </w:tcBorders>
            <w:shd w:val="clear" w:color="auto" w:fill="auto"/>
            <w:noWrap/>
            <w:vAlign w:val="bottom"/>
            <w:hideMark/>
          </w:tcPr>
          <w:p w14:paraId="38CE6C92" w14:textId="77777777" w:rsidR="00A30FA7" w:rsidRPr="009C2B6E" w:rsidRDefault="00A30FA7" w:rsidP="00A30FA7">
            <w:pPr>
              <w:spacing w:line="240" w:lineRule="auto"/>
              <w:ind w:firstLine="0"/>
              <w:jc w:val="left"/>
              <w:rPr>
                <w:color w:val="000000"/>
              </w:rPr>
            </w:pPr>
            <w:r w:rsidRPr="009C2B6E">
              <w:rPr>
                <w:color w:val="000000"/>
              </w:rPr>
              <w:t>HA</w:t>
            </w:r>
          </w:p>
        </w:tc>
        <w:tc>
          <w:tcPr>
            <w:tcW w:w="8470" w:type="dxa"/>
            <w:tcBorders>
              <w:top w:val="nil"/>
              <w:left w:val="nil"/>
              <w:bottom w:val="nil"/>
              <w:right w:val="nil"/>
            </w:tcBorders>
            <w:shd w:val="clear" w:color="auto" w:fill="auto"/>
            <w:noWrap/>
            <w:vAlign w:val="bottom"/>
            <w:hideMark/>
          </w:tcPr>
          <w:p w14:paraId="6227EE69" w14:textId="77777777" w:rsidR="00A30FA7" w:rsidRPr="009C2B6E" w:rsidRDefault="00A30FA7" w:rsidP="00A30FA7">
            <w:pPr>
              <w:spacing w:line="240" w:lineRule="auto"/>
              <w:ind w:firstLine="0"/>
              <w:jc w:val="left"/>
              <w:rPr>
                <w:color w:val="000000"/>
              </w:rPr>
            </w:pPr>
            <w:r w:rsidRPr="009C2B6E">
              <w:rPr>
                <w:color w:val="000000"/>
              </w:rPr>
              <w:t xml:space="preserve">Hyaluronic acid </w:t>
            </w:r>
          </w:p>
        </w:tc>
      </w:tr>
      <w:tr w:rsidR="00A30FA7" w:rsidRPr="009C2B6E" w14:paraId="4EEA52B1" w14:textId="77777777" w:rsidTr="009371A9">
        <w:trPr>
          <w:trHeight w:val="280"/>
        </w:trPr>
        <w:tc>
          <w:tcPr>
            <w:tcW w:w="2250" w:type="dxa"/>
            <w:tcBorders>
              <w:top w:val="nil"/>
              <w:left w:val="nil"/>
              <w:bottom w:val="nil"/>
              <w:right w:val="nil"/>
            </w:tcBorders>
            <w:shd w:val="clear" w:color="auto" w:fill="auto"/>
            <w:noWrap/>
            <w:vAlign w:val="bottom"/>
            <w:hideMark/>
          </w:tcPr>
          <w:p w14:paraId="5243C2E3" w14:textId="77777777" w:rsidR="00A30FA7" w:rsidRPr="009C2B6E" w:rsidRDefault="00A30FA7" w:rsidP="00A30FA7">
            <w:pPr>
              <w:spacing w:line="240" w:lineRule="auto"/>
              <w:ind w:firstLine="0"/>
              <w:jc w:val="left"/>
              <w:rPr>
                <w:color w:val="000000"/>
              </w:rPr>
            </w:pPr>
            <w:r w:rsidRPr="009C2B6E">
              <w:rPr>
                <w:color w:val="000000"/>
              </w:rPr>
              <w:t>IL</w:t>
            </w:r>
          </w:p>
        </w:tc>
        <w:tc>
          <w:tcPr>
            <w:tcW w:w="8470" w:type="dxa"/>
            <w:tcBorders>
              <w:top w:val="nil"/>
              <w:left w:val="nil"/>
              <w:bottom w:val="nil"/>
              <w:right w:val="nil"/>
            </w:tcBorders>
            <w:shd w:val="clear" w:color="auto" w:fill="auto"/>
            <w:noWrap/>
            <w:vAlign w:val="bottom"/>
            <w:hideMark/>
          </w:tcPr>
          <w:p w14:paraId="0C986F16" w14:textId="5E81369F" w:rsidR="00A30FA7" w:rsidRPr="009C2B6E" w:rsidRDefault="00A30FA7" w:rsidP="00A30FA7">
            <w:pPr>
              <w:spacing w:line="240" w:lineRule="auto"/>
              <w:ind w:firstLine="0"/>
              <w:jc w:val="left"/>
              <w:rPr>
                <w:color w:val="000000"/>
              </w:rPr>
            </w:pPr>
            <w:r w:rsidRPr="009C2B6E">
              <w:rPr>
                <w:color w:val="000000"/>
              </w:rPr>
              <w:t xml:space="preserve">Interleukins </w:t>
            </w:r>
          </w:p>
        </w:tc>
      </w:tr>
      <w:tr w:rsidR="00A30FA7" w:rsidRPr="009C2B6E" w14:paraId="13FB888E" w14:textId="77777777" w:rsidTr="009371A9">
        <w:trPr>
          <w:trHeight w:val="280"/>
        </w:trPr>
        <w:tc>
          <w:tcPr>
            <w:tcW w:w="2250" w:type="dxa"/>
            <w:tcBorders>
              <w:top w:val="nil"/>
              <w:left w:val="nil"/>
              <w:bottom w:val="nil"/>
              <w:right w:val="nil"/>
            </w:tcBorders>
            <w:shd w:val="clear" w:color="auto" w:fill="auto"/>
            <w:noWrap/>
            <w:vAlign w:val="bottom"/>
            <w:hideMark/>
          </w:tcPr>
          <w:p w14:paraId="0E7336E2" w14:textId="77777777" w:rsidR="00A30FA7" w:rsidRPr="009C2B6E" w:rsidRDefault="00A30FA7" w:rsidP="00A30FA7">
            <w:pPr>
              <w:spacing w:line="240" w:lineRule="auto"/>
              <w:ind w:firstLine="0"/>
              <w:jc w:val="left"/>
              <w:rPr>
                <w:color w:val="000000"/>
              </w:rPr>
            </w:pPr>
            <w:r w:rsidRPr="009C2B6E">
              <w:rPr>
                <w:color w:val="000000"/>
              </w:rPr>
              <w:t>TNF</w:t>
            </w:r>
          </w:p>
        </w:tc>
        <w:tc>
          <w:tcPr>
            <w:tcW w:w="8470" w:type="dxa"/>
            <w:tcBorders>
              <w:top w:val="nil"/>
              <w:left w:val="nil"/>
              <w:bottom w:val="nil"/>
              <w:right w:val="nil"/>
            </w:tcBorders>
            <w:shd w:val="clear" w:color="auto" w:fill="auto"/>
            <w:noWrap/>
            <w:vAlign w:val="bottom"/>
            <w:hideMark/>
          </w:tcPr>
          <w:p w14:paraId="750D22C3" w14:textId="4C0E7DC3" w:rsidR="00A30FA7" w:rsidRPr="009C2B6E" w:rsidRDefault="00A30FA7" w:rsidP="00A30FA7">
            <w:pPr>
              <w:spacing w:line="240" w:lineRule="auto"/>
              <w:ind w:firstLine="0"/>
              <w:jc w:val="left"/>
              <w:rPr>
                <w:color w:val="000000"/>
              </w:rPr>
            </w:pPr>
            <w:r w:rsidRPr="009C2B6E">
              <w:rPr>
                <w:color w:val="000000"/>
              </w:rPr>
              <w:t xml:space="preserve">Tumor necrosis factor </w:t>
            </w:r>
          </w:p>
        </w:tc>
      </w:tr>
      <w:tr w:rsidR="00A30FA7" w:rsidRPr="009C2B6E" w14:paraId="1B934052" w14:textId="77777777" w:rsidTr="009371A9">
        <w:trPr>
          <w:trHeight w:val="310"/>
        </w:trPr>
        <w:tc>
          <w:tcPr>
            <w:tcW w:w="2250" w:type="dxa"/>
            <w:tcBorders>
              <w:top w:val="nil"/>
              <w:left w:val="nil"/>
              <w:bottom w:val="nil"/>
              <w:right w:val="nil"/>
            </w:tcBorders>
            <w:shd w:val="clear" w:color="auto" w:fill="auto"/>
            <w:noWrap/>
            <w:vAlign w:val="bottom"/>
            <w:hideMark/>
          </w:tcPr>
          <w:p w14:paraId="33B270D9" w14:textId="77777777" w:rsidR="00A30FA7" w:rsidRPr="009C2B6E" w:rsidRDefault="00A30FA7" w:rsidP="00A30FA7">
            <w:pPr>
              <w:spacing w:line="240" w:lineRule="auto"/>
              <w:ind w:firstLine="0"/>
              <w:jc w:val="left"/>
              <w:rPr>
                <w:color w:val="000000"/>
              </w:rPr>
            </w:pPr>
            <w:r w:rsidRPr="009C2B6E">
              <w:rPr>
                <w:color w:val="000000"/>
              </w:rPr>
              <w:t>PDGF</w:t>
            </w:r>
          </w:p>
        </w:tc>
        <w:tc>
          <w:tcPr>
            <w:tcW w:w="8470" w:type="dxa"/>
            <w:tcBorders>
              <w:top w:val="nil"/>
              <w:left w:val="nil"/>
              <w:bottom w:val="nil"/>
              <w:right w:val="nil"/>
            </w:tcBorders>
            <w:shd w:val="clear" w:color="auto" w:fill="auto"/>
            <w:noWrap/>
            <w:vAlign w:val="bottom"/>
            <w:hideMark/>
          </w:tcPr>
          <w:p w14:paraId="5FA016B0" w14:textId="6676A05A" w:rsidR="00A30FA7" w:rsidRPr="009C2B6E" w:rsidRDefault="00A30FA7" w:rsidP="00A30FA7">
            <w:pPr>
              <w:spacing w:line="240" w:lineRule="auto"/>
              <w:ind w:firstLine="0"/>
              <w:jc w:val="left"/>
              <w:rPr>
                <w:color w:val="000000"/>
              </w:rPr>
            </w:pPr>
            <w:r w:rsidRPr="009C2B6E">
              <w:rPr>
                <w:color w:val="000000"/>
              </w:rPr>
              <w:t xml:space="preserve">Platelet-derived growth factor </w:t>
            </w:r>
          </w:p>
        </w:tc>
      </w:tr>
      <w:tr w:rsidR="00A30FA7" w:rsidRPr="009C2B6E" w14:paraId="28A181AE" w14:textId="77777777" w:rsidTr="009371A9">
        <w:trPr>
          <w:trHeight w:val="280"/>
        </w:trPr>
        <w:tc>
          <w:tcPr>
            <w:tcW w:w="2250" w:type="dxa"/>
            <w:tcBorders>
              <w:top w:val="nil"/>
              <w:left w:val="nil"/>
              <w:bottom w:val="nil"/>
              <w:right w:val="nil"/>
            </w:tcBorders>
            <w:shd w:val="clear" w:color="auto" w:fill="auto"/>
            <w:noWrap/>
            <w:vAlign w:val="bottom"/>
            <w:hideMark/>
          </w:tcPr>
          <w:p w14:paraId="7B175038" w14:textId="77777777" w:rsidR="00A30FA7" w:rsidRPr="009C2B6E" w:rsidRDefault="00A30FA7" w:rsidP="00A30FA7">
            <w:pPr>
              <w:spacing w:line="240" w:lineRule="auto"/>
              <w:ind w:firstLine="0"/>
              <w:jc w:val="left"/>
              <w:rPr>
                <w:color w:val="000000"/>
              </w:rPr>
            </w:pPr>
            <w:r w:rsidRPr="009C2B6E">
              <w:rPr>
                <w:color w:val="000000"/>
              </w:rPr>
              <w:t>TGF</w:t>
            </w:r>
          </w:p>
        </w:tc>
        <w:tc>
          <w:tcPr>
            <w:tcW w:w="8470" w:type="dxa"/>
            <w:tcBorders>
              <w:top w:val="nil"/>
              <w:left w:val="nil"/>
              <w:bottom w:val="nil"/>
              <w:right w:val="nil"/>
            </w:tcBorders>
            <w:shd w:val="clear" w:color="auto" w:fill="auto"/>
            <w:noWrap/>
            <w:vAlign w:val="bottom"/>
            <w:hideMark/>
          </w:tcPr>
          <w:p w14:paraId="486D6AA8" w14:textId="4823E49E" w:rsidR="00A30FA7" w:rsidRPr="009C2B6E" w:rsidRDefault="00A30FA7" w:rsidP="00A30FA7">
            <w:pPr>
              <w:spacing w:line="240" w:lineRule="auto"/>
              <w:ind w:firstLine="0"/>
              <w:jc w:val="left"/>
              <w:rPr>
                <w:color w:val="000000"/>
              </w:rPr>
            </w:pPr>
            <w:r w:rsidRPr="009C2B6E">
              <w:rPr>
                <w:color w:val="000000"/>
              </w:rPr>
              <w:t xml:space="preserve">Transforming growth factor </w:t>
            </w:r>
          </w:p>
        </w:tc>
      </w:tr>
      <w:tr w:rsidR="00A30FA7" w:rsidRPr="009C2B6E" w14:paraId="5B720C7D" w14:textId="77777777" w:rsidTr="009371A9">
        <w:trPr>
          <w:trHeight w:val="310"/>
        </w:trPr>
        <w:tc>
          <w:tcPr>
            <w:tcW w:w="2250" w:type="dxa"/>
            <w:tcBorders>
              <w:top w:val="nil"/>
              <w:left w:val="nil"/>
              <w:bottom w:val="nil"/>
              <w:right w:val="nil"/>
            </w:tcBorders>
            <w:shd w:val="clear" w:color="auto" w:fill="auto"/>
            <w:noWrap/>
            <w:vAlign w:val="bottom"/>
            <w:hideMark/>
          </w:tcPr>
          <w:p w14:paraId="56F8B119" w14:textId="77777777" w:rsidR="00A30FA7" w:rsidRPr="009C2B6E" w:rsidRDefault="00A30FA7" w:rsidP="00A30FA7">
            <w:pPr>
              <w:spacing w:line="240" w:lineRule="auto"/>
              <w:ind w:firstLine="0"/>
              <w:jc w:val="left"/>
              <w:rPr>
                <w:color w:val="000000"/>
              </w:rPr>
            </w:pPr>
            <w:r w:rsidRPr="009C2B6E">
              <w:rPr>
                <w:color w:val="000000"/>
              </w:rPr>
              <w:t>COX</w:t>
            </w:r>
          </w:p>
        </w:tc>
        <w:tc>
          <w:tcPr>
            <w:tcW w:w="8470" w:type="dxa"/>
            <w:tcBorders>
              <w:top w:val="nil"/>
              <w:left w:val="nil"/>
              <w:bottom w:val="nil"/>
              <w:right w:val="nil"/>
            </w:tcBorders>
            <w:shd w:val="clear" w:color="auto" w:fill="auto"/>
            <w:noWrap/>
            <w:vAlign w:val="bottom"/>
            <w:hideMark/>
          </w:tcPr>
          <w:p w14:paraId="1DAEF176" w14:textId="219993D6" w:rsidR="00A30FA7" w:rsidRPr="009C2B6E" w:rsidRDefault="00A30FA7" w:rsidP="00A30FA7">
            <w:pPr>
              <w:spacing w:line="240" w:lineRule="auto"/>
              <w:ind w:firstLine="0"/>
              <w:jc w:val="left"/>
              <w:rPr>
                <w:color w:val="000000"/>
              </w:rPr>
            </w:pPr>
            <w:r w:rsidRPr="009C2B6E">
              <w:rPr>
                <w:color w:val="000000"/>
              </w:rPr>
              <w:t>Cyclooxygenase</w:t>
            </w:r>
          </w:p>
        </w:tc>
      </w:tr>
      <w:tr w:rsidR="00A30FA7" w:rsidRPr="009C2B6E" w14:paraId="0AE18733" w14:textId="77777777" w:rsidTr="009371A9">
        <w:trPr>
          <w:trHeight w:val="310"/>
        </w:trPr>
        <w:tc>
          <w:tcPr>
            <w:tcW w:w="2250" w:type="dxa"/>
            <w:tcBorders>
              <w:top w:val="nil"/>
              <w:left w:val="nil"/>
              <w:bottom w:val="nil"/>
              <w:right w:val="nil"/>
            </w:tcBorders>
            <w:shd w:val="clear" w:color="auto" w:fill="auto"/>
            <w:noWrap/>
            <w:vAlign w:val="bottom"/>
            <w:hideMark/>
          </w:tcPr>
          <w:p w14:paraId="41560255" w14:textId="77777777" w:rsidR="00A30FA7" w:rsidRPr="009C2B6E" w:rsidRDefault="00A30FA7" w:rsidP="00A30FA7">
            <w:pPr>
              <w:spacing w:line="240" w:lineRule="auto"/>
              <w:ind w:firstLine="0"/>
              <w:jc w:val="left"/>
              <w:rPr>
                <w:color w:val="000000"/>
              </w:rPr>
            </w:pPr>
            <w:r w:rsidRPr="009C2B6E">
              <w:rPr>
                <w:color w:val="000000"/>
              </w:rPr>
              <w:t>VEGF</w:t>
            </w:r>
          </w:p>
        </w:tc>
        <w:tc>
          <w:tcPr>
            <w:tcW w:w="8470" w:type="dxa"/>
            <w:tcBorders>
              <w:top w:val="nil"/>
              <w:left w:val="nil"/>
              <w:bottom w:val="nil"/>
              <w:right w:val="nil"/>
            </w:tcBorders>
            <w:shd w:val="clear" w:color="auto" w:fill="auto"/>
            <w:noWrap/>
            <w:vAlign w:val="bottom"/>
            <w:hideMark/>
          </w:tcPr>
          <w:p w14:paraId="1BA45870" w14:textId="12475446" w:rsidR="00A30FA7" w:rsidRPr="009C2B6E" w:rsidRDefault="00A30FA7" w:rsidP="00A30FA7">
            <w:pPr>
              <w:spacing w:line="240" w:lineRule="auto"/>
              <w:ind w:firstLine="0"/>
              <w:jc w:val="left"/>
              <w:rPr>
                <w:color w:val="000000"/>
              </w:rPr>
            </w:pPr>
            <w:r w:rsidRPr="009C2B6E">
              <w:rPr>
                <w:color w:val="000000"/>
              </w:rPr>
              <w:t xml:space="preserve">Vascular endothelial growth factor </w:t>
            </w:r>
          </w:p>
        </w:tc>
      </w:tr>
      <w:tr w:rsidR="00A30FA7" w:rsidRPr="009C2B6E" w14:paraId="2BAAE3ED" w14:textId="77777777" w:rsidTr="009371A9">
        <w:trPr>
          <w:trHeight w:val="310"/>
        </w:trPr>
        <w:tc>
          <w:tcPr>
            <w:tcW w:w="2250" w:type="dxa"/>
            <w:tcBorders>
              <w:top w:val="nil"/>
              <w:left w:val="nil"/>
              <w:bottom w:val="nil"/>
              <w:right w:val="nil"/>
            </w:tcBorders>
            <w:shd w:val="clear" w:color="auto" w:fill="auto"/>
            <w:noWrap/>
            <w:vAlign w:val="bottom"/>
            <w:hideMark/>
          </w:tcPr>
          <w:p w14:paraId="090C6016" w14:textId="77777777" w:rsidR="00A30FA7" w:rsidRPr="009C2B6E" w:rsidRDefault="00A30FA7" w:rsidP="00A30FA7">
            <w:pPr>
              <w:spacing w:line="240" w:lineRule="auto"/>
              <w:ind w:firstLine="0"/>
              <w:jc w:val="left"/>
              <w:rPr>
                <w:color w:val="000000"/>
              </w:rPr>
            </w:pPr>
            <w:r w:rsidRPr="009C2B6E">
              <w:rPr>
                <w:color w:val="000000"/>
              </w:rPr>
              <w:t>FGF</w:t>
            </w:r>
          </w:p>
        </w:tc>
        <w:tc>
          <w:tcPr>
            <w:tcW w:w="8470" w:type="dxa"/>
            <w:tcBorders>
              <w:top w:val="nil"/>
              <w:left w:val="nil"/>
              <w:bottom w:val="nil"/>
              <w:right w:val="nil"/>
            </w:tcBorders>
            <w:shd w:val="clear" w:color="auto" w:fill="auto"/>
            <w:noWrap/>
            <w:vAlign w:val="bottom"/>
            <w:hideMark/>
          </w:tcPr>
          <w:p w14:paraId="3ACED414" w14:textId="145EE755" w:rsidR="00A30FA7" w:rsidRPr="009C2B6E" w:rsidRDefault="00A30FA7" w:rsidP="00A30FA7">
            <w:pPr>
              <w:spacing w:line="240" w:lineRule="auto"/>
              <w:ind w:firstLine="0"/>
              <w:jc w:val="left"/>
              <w:rPr>
                <w:color w:val="000000"/>
              </w:rPr>
            </w:pPr>
            <w:r w:rsidRPr="009C2B6E">
              <w:rPr>
                <w:color w:val="000000"/>
              </w:rPr>
              <w:t xml:space="preserve">Fibroblast growth factor </w:t>
            </w:r>
          </w:p>
        </w:tc>
      </w:tr>
      <w:tr w:rsidR="00A30FA7" w:rsidRPr="009C2B6E" w14:paraId="5AA22794" w14:textId="77777777" w:rsidTr="009371A9">
        <w:trPr>
          <w:trHeight w:val="310"/>
        </w:trPr>
        <w:tc>
          <w:tcPr>
            <w:tcW w:w="2250" w:type="dxa"/>
            <w:tcBorders>
              <w:top w:val="nil"/>
              <w:left w:val="nil"/>
              <w:bottom w:val="nil"/>
              <w:right w:val="nil"/>
            </w:tcBorders>
            <w:shd w:val="clear" w:color="auto" w:fill="auto"/>
            <w:noWrap/>
            <w:vAlign w:val="bottom"/>
            <w:hideMark/>
          </w:tcPr>
          <w:p w14:paraId="55F6BAB6" w14:textId="77777777" w:rsidR="00A30FA7" w:rsidRPr="009C2B6E" w:rsidRDefault="00A30FA7" w:rsidP="00A30FA7">
            <w:pPr>
              <w:spacing w:line="240" w:lineRule="auto"/>
              <w:ind w:firstLine="0"/>
              <w:jc w:val="left"/>
              <w:rPr>
                <w:color w:val="000000"/>
              </w:rPr>
            </w:pPr>
            <w:r w:rsidRPr="009C2B6E">
              <w:rPr>
                <w:color w:val="000000"/>
              </w:rPr>
              <w:t>KGF</w:t>
            </w:r>
          </w:p>
        </w:tc>
        <w:tc>
          <w:tcPr>
            <w:tcW w:w="8470" w:type="dxa"/>
            <w:tcBorders>
              <w:top w:val="nil"/>
              <w:left w:val="nil"/>
              <w:bottom w:val="nil"/>
              <w:right w:val="nil"/>
            </w:tcBorders>
            <w:shd w:val="clear" w:color="auto" w:fill="auto"/>
            <w:noWrap/>
            <w:vAlign w:val="bottom"/>
            <w:hideMark/>
          </w:tcPr>
          <w:p w14:paraId="7565BA1F" w14:textId="25032155" w:rsidR="00A30FA7" w:rsidRPr="009C2B6E" w:rsidRDefault="00A30FA7" w:rsidP="00A30FA7">
            <w:pPr>
              <w:spacing w:line="240" w:lineRule="auto"/>
              <w:ind w:firstLine="0"/>
              <w:jc w:val="left"/>
              <w:rPr>
                <w:color w:val="000000"/>
              </w:rPr>
            </w:pPr>
            <w:r w:rsidRPr="009C2B6E">
              <w:rPr>
                <w:color w:val="000000"/>
              </w:rPr>
              <w:t xml:space="preserve">Keratinocyte growth factor </w:t>
            </w:r>
          </w:p>
        </w:tc>
      </w:tr>
      <w:tr w:rsidR="00A30FA7" w:rsidRPr="009C2B6E" w14:paraId="54D647D4" w14:textId="77777777" w:rsidTr="009371A9">
        <w:trPr>
          <w:trHeight w:val="310"/>
        </w:trPr>
        <w:tc>
          <w:tcPr>
            <w:tcW w:w="2250" w:type="dxa"/>
            <w:tcBorders>
              <w:top w:val="nil"/>
              <w:left w:val="nil"/>
              <w:bottom w:val="nil"/>
              <w:right w:val="nil"/>
            </w:tcBorders>
            <w:shd w:val="clear" w:color="auto" w:fill="auto"/>
            <w:noWrap/>
            <w:vAlign w:val="bottom"/>
            <w:hideMark/>
          </w:tcPr>
          <w:p w14:paraId="19D53D66" w14:textId="77777777" w:rsidR="00A30FA7" w:rsidRPr="009C2B6E" w:rsidRDefault="00A30FA7" w:rsidP="00A30FA7">
            <w:pPr>
              <w:spacing w:line="240" w:lineRule="auto"/>
              <w:ind w:firstLine="0"/>
              <w:jc w:val="left"/>
              <w:rPr>
                <w:color w:val="000000"/>
              </w:rPr>
            </w:pPr>
            <w:r w:rsidRPr="009C2B6E">
              <w:rPr>
                <w:color w:val="000000"/>
              </w:rPr>
              <w:t>MMP</w:t>
            </w:r>
          </w:p>
        </w:tc>
        <w:tc>
          <w:tcPr>
            <w:tcW w:w="8470" w:type="dxa"/>
            <w:tcBorders>
              <w:top w:val="nil"/>
              <w:left w:val="nil"/>
              <w:bottom w:val="nil"/>
              <w:right w:val="nil"/>
            </w:tcBorders>
            <w:shd w:val="clear" w:color="auto" w:fill="auto"/>
            <w:noWrap/>
            <w:vAlign w:val="bottom"/>
            <w:hideMark/>
          </w:tcPr>
          <w:p w14:paraId="24A1235C" w14:textId="3A2B7250" w:rsidR="00A30FA7" w:rsidRPr="009C2B6E" w:rsidRDefault="00A30FA7" w:rsidP="00A30FA7">
            <w:pPr>
              <w:spacing w:line="240" w:lineRule="auto"/>
              <w:ind w:firstLine="0"/>
              <w:jc w:val="left"/>
              <w:rPr>
                <w:color w:val="000000"/>
              </w:rPr>
            </w:pPr>
            <w:r w:rsidRPr="009C2B6E">
              <w:rPr>
                <w:color w:val="000000"/>
              </w:rPr>
              <w:t xml:space="preserve">Matrix metalloproteinases </w:t>
            </w:r>
          </w:p>
        </w:tc>
      </w:tr>
      <w:tr w:rsidR="00A30FA7" w:rsidRPr="009C2B6E" w14:paraId="52C54507" w14:textId="77777777" w:rsidTr="009371A9">
        <w:trPr>
          <w:trHeight w:val="310"/>
        </w:trPr>
        <w:tc>
          <w:tcPr>
            <w:tcW w:w="2250" w:type="dxa"/>
            <w:tcBorders>
              <w:top w:val="nil"/>
              <w:left w:val="nil"/>
              <w:bottom w:val="nil"/>
              <w:right w:val="nil"/>
            </w:tcBorders>
            <w:shd w:val="clear" w:color="auto" w:fill="auto"/>
            <w:noWrap/>
            <w:vAlign w:val="bottom"/>
            <w:hideMark/>
          </w:tcPr>
          <w:p w14:paraId="3B8E6DD4" w14:textId="77777777" w:rsidR="00A30FA7" w:rsidRPr="009C2B6E" w:rsidRDefault="00A30FA7" w:rsidP="00A30FA7">
            <w:pPr>
              <w:spacing w:line="240" w:lineRule="auto"/>
              <w:ind w:firstLine="0"/>
              <w:jc w:val="left"/>
              <w:rPr>
                <w:color w:val="000000"/>
              </w:rPr>
            </w:pPr>
            <w:r w:rsidRPr="009C2B6E">
              <w:rPr>
                <w:color w:val="000000"/>
              </w:rPr>
              <w:t>NF-ĸB</w:t>
            </w:r>
          </w:p>
        </w:tc>
        <w:tc>
          <w:tcPr>
            <w:tcW w:w="8470" w:type="dxa"/>
            <w:tcBorders>
              <w:top w:val="nil"/>
              <w:left w:val="nil"/>
              <w:bottom w:val="nil"/>
              <w:right w:val="nil"/>
            </w:tcBorders>
            <w:shd w:val="clear" w:color="auto" w:fill="auto"/>
            <w:noWrap/>
            <w:vAlign w:val="bottom"/>
            <w:hideMark/>
          </w:tcPr>
          <w:p w14:paraId="62182160" w14:textId="717BE15C" w:rsidR="00A30FA7" w:rsidRPr="009C2B6E" w:rsidRDefault="00A30FA7" w:rsidP="00A30FA7">
            <w:pPr>
              <w:spacing w:line="240" w:lineRule="auto"/>
              <w:ind w:firstLine="0"/>
              <w:jc w:val="left"/>
              <w:rPr>
                <w:color w:val="000000"/>
              </w:rPr>
            </w:pPr>
            <w:r w:rsidRPr="009C2B6E">
              <w:rPr>
                <w:color w:val="000000"/>
              </w:rPr>
              <w:t xml:space="preserve">Nuclear factor kappa B </w:t>
            </w:r>
          </w:p>
        </w:tc>
      </w:tr>
      <w:tr w:rsidR="00A30FA7" w:rsidRPr="009C2B6E" w14:paraId="20F6A2CB" w14:textId="77777777" w:rsidTr="009371A9">
        <w:trPr>
          <w:trHeight w:val="310"/>
        </w:trPr>
        <w:tc>
          <w:tcPr>
            <w:tcW w:w="2250" w:type="dxa"/>
            <w:tcBorders>
              <w:top w:val="nil"/>
              <w:left w:val="nil"/>
              <w:bottom w:val="nil"/>
              <w:right w:val="nil"/>
            </w:tcBorders>
            <w:shd w:val="clear" w:color="auto" w:fill="auto"/>
            <w:noWrap/>
            <w:vAlign w:val="bottom"/>
            <w:hideMark/>
          </w:tcPr>
          <w:p w14:paraId="74F5FF9F" w14:textId="77777777" w:rsidR="00A30FA7" w:rsidRPr="009C2B6E" w:rsidRDefault="00A30FA7" w:rsidP="00A30FA7">
            <w:pPr>
              <w:spacing w:line="240" w:lineRule="auto"/>
              <w:ind w:firstLine="0"/>
              <w:jc w:val="left"/>
              <w:rPr>
                <w:color w:val="000000"/>
              </w:rPr>
            </w:pPr>
            <w:r w:rsidRPr="009C2B6E">
              <w:rPr>
                <w:color w:val="000000"/>
              </w:rPr>
              <w:t>CRH</w:t>
            </w:r>
          </w:p>
        </w:tc>
        <w:tc>
          <w:tcPr>
            <w:tcW w:w="8470" w:type="dxa"/>
            <w:tcBorders>
              <w:top w:val="nil"/>
              <w:left w:val="nil"/>
              <w:bottom w:val="nil"/>
              <w:right w:val="nil"/>
            </w:tcBorders>
            <w:shd w:val="clear" w:color="auto" w:fill="auto"/>
            <w:noWrap/>
            <w:vAlign w:val="bottom"/>
            <w:hideMark/>
          </w:tcPr>
          <w:p w14:paraId="1C5C6E0D" w14:textId="5D136E7D" w:rsidR="00A30FA7" w:rsidRPr="009C2B6E" w:rsidRDefault="00A30FA7" w:rsidP="00A30FA7">
            <w:pPr>
              <w:spacing w:line="240" w:lineRule="auto"/>
              <w:ind w:firstLine="0"/>
              <w:jc w:val="left"/>
              <w:rPr>
                <w:color w:val="000000"/>
              </w:rPr>
            </w:pPr>
            <w:r w:rsidRPr="009C2B6E">
              <w:rPr>
                <w:color w:val="000000"/>
              </w:rPr>
              <w:t xml:space="preserve">Corticotropin-releasing hormone </w:t>
            </w:r>
          </w:p>
        </w:tc>
      </w:tr>
      <w:tr w:rsidR="00A30FA7" w:rsidRPr="009C2B6E" w14:paraId="694AB270" w14:textId="77777777" w:rsidTr="009371A9">
        <w:trPr>
          <w:trHeight w:val="310"/>
        </w:trPr>
        <w:tc>
          <w:tcPr>
            <w:tcW w:w="2250" w:type="dxa"/>
            <w:tcBorders>
              <w:top w:val="nil"/>
              <w:left w:val="nil"/>
              <w:bottom w:val="nil"/>
              <w:right w:val="nil"/>
            </w:tcBorders>
            <w:shd w:val="clear" w:color="auto" w:fill="auto"/>
            <w:noWrap/>
            <w:vAlign w:val="bottom"/>
            <w:hideMark/>
          </w:tcPr>
          <w:p w14:paraId="30D016D2" w14:textId="77777777" w:rsidR="00A30FA7" w:rsidRPr="009C2B6E" w:rsidRDefault="00A30FA7" w:rsidP="00A30FA7">
            <w:pPr>
              <w:spacing w:line="240" w:lineRule="auto"/>
              <w:ind w:firstLine="0"/>
              <w:jc w:val="left"/>
              <w:rPr>
                <w:color w:val="000000"/>
              </w:rPr>
            </w:pPr>
            <w:r w:rsidRPr="009C2B6E">
              <w:rPr>
                <w:color w:val="000000"/>
              </w:rPr>
              <w:t>GCR</w:t>
            </w:r>
          </w:p>
        </w:tc>
        <w:tc>
          <w:tcPr>
            <w:tcW w:w="8470" w:type="dxa"/>
            <w:tcBorders>
              <w:top w:val="nil"/>
              <w:left w:val="nil"/>
              <w:bottom w:val="nil"/>
              <w:right w:val="nil"/>
            </w:tcBorders>
            <w:shd w:val="clear" w:color="auto" w:fill="auto"/>
            <w:noWrap/>
            <w:vAlign w:val="bottom"/>
            <w:hideMark/>
          </w:tcPr>
          <w:p w14:paraId="3A083E4C" w14:textId="77777777" w:rsidR="00A30FA7" w:rsidRPr="009C2B6E" w:rsidRDefault="00A30FA7" w:rsidP="00A30FA7">
            <w:pPr>
              <w:spacing w:line="240" w:lineRule="auto"/>
              <w:ind w:firstLine="0"/>
              <w:jc w:val="left"/>
              <w:rPr>
                <w:color w:val="000000"/>
              </w:rPr>
            </w:pPr>
            <w:r w:rsidRPr="009C2B6E">
              <w:rPr>
                <w:color w:val="000000"/>
              </w:rPr>
              <w:t>Glucocorticoid receptor</w:t>
            </w:r>
          </w:p>
        </w:tc>
      </w:tr>
      <w:tr w:rsidR="00A30FA7" w:rsidRPr="009C2B6E" w14:paraId="5C72C6F7" w14:textId="77777777" w:rsidTr="009371A9">
        <w:trPr>
          <w:trHeight w:val="310"/>
        </w:trPr>
        <w:tc>
          <w:tcPr>
            <w:tcW w:w="2250" w:type="dxa"/>
            <w:tcBorders>
              <w:top w:val="nil"/>
              <w:left w:val="nil"/>
              <w:bottom w:val="nil"/>
              <w:right w:val="nil"/>
            </w:tcBorders>
            <w:shd w:val="clear" w:color="auto" w:fill="auto"/>
            <w:noWrap/>
            <w:vAlign w:val="bottom"/>
            <w:hideMark/>
          </w:tcPr>
          <w:p w14:paraId="71AC61CE" w14:textId="77777777" w:rsidR="00A30FA7" w:rsidRPr="009C2B6E" w:rsidRDefault="00A30FA7" w:rsidP="00A30FA7">
            <w:pPr>
              <w:spacing w:line="240" w:lineRule="auto"/>
              <w:ind w:firstLine="0"/>
              <w:jc w:val="left"/>
              <w:rPr>
                <w:color w:val="000000"/>
              </w:rPr>
            </w:pPr>
            <w:r w:rsidRPr="009C2B6E">
              <w:rPr>
                <w:color w:val="000000"/>
              </w:rPr>
              <w:t>GRE</w:t>
            </w:r>
          </w:p>
        </w:tc>
        <w:tc>
          <w:tcPr>
            <w:tcW w:w="8470" w:type="dxa"/>
            <w:tcBorders>
              <w:top w:val="nil"/>
              <w:left w:val="nil"/>
              <w:bottom w:val="nil"/>
              <w:right w:val="nil"/>
            </w:tcBorders>
            <w:shd w:val="clear" w:color="auto" w:fill="auto"/>
            <w:noWrap/>
            <w:vAlign w:val="bottom"/>
            <w:hideMark/>
          </w:tcPr>
          <w:p w14:paraId="7D3103FC" w14:textId="2843D876" w:rsidR="00A30FA7" w:rsidRPr="009C2B6E" w:rsidRDefault="00A30FA7" w:rsidP="00A30FA7">
            <w:pPr>
              <w:spacing w:line="240" w:lineRule="auto"/>
              <w:ind w:firstLine="0"/>
              <w:jc w:val="left"/>
              <w:rPr>
                <w:color w:val="000000"/>
              </w:rPr>
            </w:pPr>
            <w:r w:rsidRPr="009C2B6E">
              <w:rPr>
                <w:color w:val="000000"/>
              </w:rPr>
              <w:t xml:space="preserve">Glucocorticoid-responsive elements </w:t>
            </w:r>
          </w:p>
        </w:tc>
      </w:tr>
      <w:tr w:rsidR="00A30FA7" w:rsidRPr="009C2B6E" w14:paraId="332535B6" w14:textId="77777777" w:rsidTr="009371A9">
        <w:trPr>
          <w:trHeight w:val="310"/>
        </w:trPr>
        <w:tc>
          <w:tcPr>
            <w:tcW w:w="2250" w:type="dxa"/>
            <w:tcBorders>
              <w:top w:val="nil"/>
              <w:left w:val="nil"/>
              <w:bottom w:val="nil"/>
              <w:right w:val="nil"/>
            </w:tcBorders>
            <w:shd w:val="clear" w:color="auto" w:fill="auto"/>
            <w:noWrap/>
            <w:vAlign w:val="bottom"/>
            <w:hideMark/>
          </w:tcPr>
          <w:p w14:paraId="3A47EBA4" w14:textId="77777777" w:rsidR="00A30FA7" w:rsidRPr="009C2B6E" w:rsidRDefault="00A30FA7" w:rsidP="00A30FA7">
            <w:pPr>
              <w:spacing w:line="240" w:lineRule="auto"/>
              <w:ind w:firstLine="0"/>
              <w:jc w:val="left"/>
              <w:rPr>
                <w:color w:val="000000"/>
              </w:rPr>
            </w:pPr>
            <w:r w:rsidRPr="009C2B6E">
              <w:rPr>
                <w:color w:val="000000"/>
              </w:rPr>
              <w:t>ATP</w:t>
            </w:r>
          </w:p>
        </w:tc>
        <w:tc>
          <w:tcPr>
            <w:tcW w:w="8470" w:type="dxa"/>
            <w:tcBorders>
              <w:top w:val="nil"/>
              <w:left w:val="nil"/>
              <w:bottom w:val="nil"/>
              <w:right w:val="nil"/>
            </w:tcBorders>
            <w:shd w:val="clear" w:color="auto" w:fill="auto"/>
            <w:noWrap/>
            <w:vAlign w:val="bottom"/>
            <w:hideMark/>
          </w:tcPr>
          <w:p w14:paraId="7427BA5B" w14:textId="56AAEE44" w:rsidR="00A30FA7" w:rsidRPr="009C2B6E" w:rsidRDefault="00A30FA7" w:rsidP="00A30FA7">
            <w:pPr>
              <w:spacing w:line="240" w:lineRule="auto"/>
              <w:ind w:firstLine="0"/>
              <w:jc w:val="left"/>
              <w:rPr>
                <w:color w:val="000000"/>
              </w:rPr>
            </w:pPr>
            <w:r w:rsidRPr="009C2B6E">
              <w:rPr>
                <w:color w:val="000000"/>
              </w:rPr>
              <w:t xml:space="preserve">Adenosine triphosphate </w:t>
            </w:r>
          </w:p>
        </w:tc>
      </w:tr>
      <w:tr w:rsidR="00A30FA7" w:rsidRPr="009C2B6E" w14:paraId="73CCE903" w14:textId="77777777" w:rsidTr="009371A9">
        <w:trPr>
          <w:trHeight w:val="280"/>
        </w:trPr>
        <w:tc>
          <w:tcPr>
            <w:tcW w:w="2250" w:type="dxa"/>
            <w:tcBorders>
              <w:top w:val="nil"/>
              <w:left w:val="nil"/>
              <w:bottom w:val="nil"/>
              <w:right w:val="nil"/>
            </w:tcBorders>
            <w:shd w:val="clear" w:color="auto" w:fill="auto"/>
            <w:noWrap/>
            <w:vAlign w:val="bottom"/>
            <w:hideMark/>
          </w:tcPr>
          <w:p w14:paraId="358A5C50" w14:textId="77777777" w:rsidR="00A30FA7" w:rsidRPr="009C2B6E" w:rsidRDefault="00A30FA7" w:rsidP="00A30FA7">
            <w:pPr>
              <w:spacing w:line="240" w:lineRule="auto"/>
              <w:ind w:firstLine="0"/>
              <w:jc w:val="left"/>
              <w:rPr>
                <w:color w:val="000000"/>
              </w:rPr>
            </w:pPr>
            <w:r w:rsidRPr="009C2B6E">
              <w:rPr>
                <w:color w:val="000000"/>
              </w:rPr>
              <w:t>AA</w:t>
            </w:r>
          </w:p>
        </w:tc>
        <w:tc>
          <w:tcPr>
            <w:tcW w:w="8470" w:type="dxa"/>
            <w:tcBorders>
              <w:top w:val="nil"/>
              <w:left w:val="nil"/>
              <w:bottom w:val="nil"/>
              <w:right w:val="nil"/>
            </w:tcBorders>
            <w:shd w:val="clear" w:color="auto" w:fill="auto"/>
            <w:noWrap/>
            <w:vAlign w:val="bottom"/>
            <w:hideMark/>
          </w:tcPr>
          <w:p w14:paraId="180430B2" w14:textId="2D93C9EB" w:rsidR="00A30FA7" w:rsidRPr="009C2B6E" w:rsidRDefault="00A30FA7" w:rsidP="00A30FA7">
            <w:pPr>
              <w:spacing w:line="240" w:lineRule="auto"/>
              <w:ind w:firstLine="0"/>
              <w:jc w:val="left"/>
              <w:rPr>
                <w:color w:val="000000"/>
              </w:rPr>
            </w:pPr>
            <w:r w:rsidRPr="009C2B6E">
              <w:rPr>
                <w:color w:val="000000"/>
              </w:rPr>
              <w:t xml:space="preserve">Arachidonic acid </w:t>
            </w:r>
          </w:p>
        </w:tc>
      </w:tr>
      <w:tr w:rsidR="00A30FA7" w:rsidRPr="009C2B6E" w14:paraId="20732F5E" w14:textId="77777777" w:rsidTr="009371A9">
        <w:trPr>
          <w:trHeight w:val="310"/>
        </w:trPr>
        <w:tc>
          <w:tcPr>
            <w:tcW w:w="2250" w:type="dxa"/>
            <w:tcBorders>
              <w:top w:val="nil"/>
              <w:left w:val="nil"/>
              <w:bottom w:val="nil"/>
              <w:right w:val="nil"/>
            </w:tcBorders>
            <w:shd w:val="clear" w:color="auto" w:fill="auto"/>
            <w:noWrap/>
            <w:vAlign w:val="bottom"/>
            <w:hideMark/>
          </w:tcPr>
          <w:p w14:paraId="17141BD1" w14:textId="77777777" w:rsidR="00A30FA7" w:rsidRPr="009C2B6E" w:rsidRDefault="00A30FA7" w:rsidP="00A30FA7">
            <w:pPr>
              <w:spacing w:line="240" w:lineRule="auto"/>
              <w:ind w:firstLine="0"/>
              <w:jc w:val="left"/>
              <w:rPr>
                <w:color w:val="000000"/>
              </w:rPr>
            </w:pPr>
            <w:r w:rsidRPr="009C2B6E">
              <w:rPr>
                <w:color w:val="000000"/>
              </w:rPr>
              <w:t>TCR</w:t>
            </w:r>
          </w:p>
        </w:tc>
        <w:tc>
          <w:tcPr>
            <w:tcW w:w="8470" w:type="dxa"/>
            <w:tcBorders>
              <w:top w:val="nil"/>
              <w:left w:val="nil"/>
              <w:bottom w:val="nil"/>
              <w:right w:val="nil"/>
            </w:tcBorders>
            <w:shd w:val="clear" w:color="auto" w:fill="auto"/>
            <w:noWrap/>
            <w:vAlign w:val="bottom"/>
            <w:hideMark/>
          </w:tcPr>
          <w:p w14:paraId="797BE0FC" w14:textId="77777777" w:rsidR="00A30FA7" w:rsidRPr="009C2B6E" w:rsidRDefault="00A30FA7" w:rsidP="00A30FA7">
            <w:pPr>
              <w:spacing w:line="240" w:lineRule="auto"/>
              <w:ind w:firstLine="0"/>
              <w:jc w:val="left"/>
              <w:rPr>
                <w:color w:val="000000"/>
              </w:rPr>
            </w:pPr>
            <w:r w:rsidRPr="009C2B6E">
              <w:rPr>
                <w:color w:val="000000"/>
              </w:rPr>
              <w:t xml:space="preserve">T-cell receptors </w:t>
            </w:r>
          </w:p>
        </w:tc>
      </w:tr>
      <w:tr w:rsidR="00A30FA7" w:rsidRPr="009C2B6E" w14:paraId="3F5C51B6" w14:textId="77777777" w:rsidTr="009371A9">
        <w:trPr>
          <w:trHeight w:val="310"/>
        </w:trPr>
        <w:tc>
          <w:tcPr>
            <w:tcW w:w="2250" w:type="dxa"/>
            <w:tcBorders>
              <w:top w:val="nil"/>
              <w:left w:val="nil"/>
              <w:bottom w:val="nil"/>
              <w:right w:val="nil"/>
            </w:tcBorders>
            <w:shd w:val="clear" w:color="auto" w:fill="auto"/>
            <w:noWrap/>
            <w:vAlign w:val="bottom"/>
            <w:hideMark/>
          </w:tcPr>
          <w:p w14:paraId="7DECDA86" w14:textId="77777777" w:rsidR="00A30FA7" w:rsidRPr="009C2B6E" w:rsidRDefault="00A30FA7" w:rsidP="00A30FA7">
            <w:pPr>
              <w:spacing w:line="240" w:lineRule="auto"/>
              <w:ind w:firstLine="0"/>
              <w:jc w:val="left"/>
              <w:rPr>
                <w:color w:val="000000"/>
              </w:rPr>
            </w:pPr>
            <w:r w:rsidRPr="009C2B6E">
              <w:rPr>
                <w:color w:val="000000"/>
              </w:rPr>
              <w:t>LCK</w:t>
            </w:r>
          </w:p>
        </w:tc>
        <w:tc>
          <w:tcPr>
            <w:tcW w:w="8470" w:type="dxa"/>
            <w:tcBorders>
              <w:top w:val="nil"/>
              <w:left w:val="nil"/>
              <w:bottom w:val="nil"/>
              <w:right w:val="nil"/>
            </w:tcBorders>
            <w:shd w:val="clear" w:color="auto" w:fill="auto"/>
            <w:noWrap/>
            <w:vAlign w:val="bottom"/>
            <w:hideMark/>
          </w:tcPr>
          <w:p w14:paraId="02883B6C" w14:textId="7A1A204D" w:rsidR="00A30FA7" w:rsidRPr="009C2B6E" w:rsidRDefault="00A30FA7" w:rsidP="00A30FA7">
            <w:pPr>
              <w:spacing w:line="240" w:lineRule="auto"/>
              <w:ind w:firstLine="0"/>
              <w:jc w:val="left"/>
              <w:rPr>
                <w:color w:val="000000"/>
              </w:rPr>
            </w:pPr>
            <w:r w:rsidRPr="009C2B6E">
              <w:rPr>
                <w:color w:val="000000"/>
              </w:rPr>
              <w:t xml:space="preserve">Lymphocyte-specific protein tyrosine kinase </w:t>
            </w:r>
          </w:p>
        </w:tc>
      </w:tr>
      <w:tr w:rsidR="00A30FA7" w:rsidRPr="009C2B6E" w14:paraId="17457C74" w14:textId="77777777" w:rsidTr="009371A9">
        <w:trPr>
          <w:trHeight w:val="310"/>
        </w:trPr>
        <w:tc>
          <w:tcPr>
            <w:tcW w:w="2250" w:type="dxa"/>
            <w:tcBorders>
              <w:top w:val="nil"/>
              <w:left w:val="nil"/>
              <w:bottom w:val="nil"/>
              <w:right w:val="nil"/>
            </w:tcBorders>
            <w:shd w:val="clear" w:color="auto" w:fill="auto"/>
            <w:noWrap/>
            <w:vAlign w:val="bottom"/>
            <w:hideMark/>
          </w:tcPr>
          <w:p w14:paraId="53B784CA" w14:textId="77777777" w:rsidR="00A30FA7" w:rsidRPr="009C2B6E" w:rsidRDefault="00A30FA7" w:rsidP="00A30FA7">
            <w:pPr>
              <w:spacing w:line="240" w:lineRule="auto"/>
              <w:ind w:firstLine="0"/>
              <w:jc w:val="left"/>
              <w:rPr>
                <w:color w:val="000000"/>
              </w:rPr>
            </w:pPr>
            <w:r w:rsidRPr="009C2B6E">
              <w:rPr>
                <w:color w:val="000000"/>
              </w:rPr>
              <w:t>UPS</w:t>
            </w:r>
          </w:p>
        </w:tc>
        <w:tc>
          <w:tcPr>
            <w:tcW w:w="8470" w:type="dxa"/>
            <w:tcBorders>
              <w:top w:val="nil"/>
              <w:left w:val="nil"/>
              <w:bottom w:val="nil"/>
              <w:right w:val="nil"/>
            </w:tcBorders>
            <w:shd w:val="clear" w:color="auto" w:fill="auto"/>
            <w:noWrap/>
            <w:vAlign w:val="bottom"/>
            <w:hideMark/>
          </w:tcPr>
          <w:p w14:paraId="426E29C7" w14:textId="20B0C5AE" w:rsidR="00A30FA7" w:rsidRPr="009C2B6E" w:rsidRDefault="00A30FA7" w:rsidP="00A30FA7">
            <w:pPr>
              <w:spacing w:line="240" w:lineRule="auto"/>
              <w:ind w:firstLine="0"/>
              <w:jc w:val="left"/>
              <w:rPr>
                <w:color w:val="000000"/>
              </w:rPr>
            </w:pPr>
            <w:r w:rsidRPr="009C2B6E">
              <w:rPr>
                <w:color w:val="000000"/>
              </w:rPr>
              <w:t xml:space="preserve">Ubiquitin-proteasome system </w:t>
            </w:r>
          </w:p>
        </w:tc>
      </w:tr>
      <w:tr w:rsidR="00A30FA7" w:rsidRPr="009C2B6E" w14:paraId="4CAB294D" w14:textId="77777777" w:rsidTr="009371A9">
        <w:trPr>
          <w:trHeight w:val="310"/>
        </w:trPr>
        <w:tc>
          <w:tcPr>
            <w:tcW w:w="2250" w:type="dxa"/>
            <w:tcBorders>
              <w:top w:val="nil"/>
              <w:left w:val="nil"/>
              <w:bottom w:val="nil"/>
              <w:right w:val="nil"/>
            </w:tcBorders>
            <w:shd w:val="clear" w:color="auto" w:fill="auto"/>
            <w:noWrap/>
            <w:vAlign w:val="bottom"/>
            <w:hideMark/>
          </w:tcPr>
          <w:p w14:paraId="5FC43AB7" w14:textId="77777777" w:rsidR="00A30FA7" w:rsidRPr="009C2B6E" w:rsidRDefault="00A30FA7" w:rsidP="00A30FA7">
            <w:pPr>
              <w:spacing w:line="240" w:lineRule="auto"/>
              <w:ind w:firstLine="0"/>
              <w:jc w:val="left"/>
              <w:rPr>
                <w:color w:val="000000"/>
              </w:rPr>
            </w:pPr>
            <w:r w:rsidRPr="009C2B6E">
              <w:rPr>
                <w:color w:val="000000"/>
              </w:rPr>
              <w:t>IGF</w:t>
            </w:r>
          </w:p>
        </w:tc>
        <w:tc>
          <w:tcPr>
            <w:tcW w:w="8470" w:type="dxa"/>
            <w:tcBorders>
              <w:top w:val="nil"/>
              <w:left w:val="nil"/>
              <w:bottom w:val="nil"/>
              <w:right w:val="nil"/>
            </w:tcBorders>
            <w:shd w:val="clear" w:color="auto" w:fill="auto"/>
            <w:noWrap/>
            <w:vAlign w:val="bottom"/>
            <w:hideMark/>
          </w:tcPr>
          <w:p w14:paraId="060D70C0" w14:textId="65CAB3D5" w:rsidR="00A30FA7" w:rsidRPr="009C2B6E" w:rsidRDefault="00A30FA7" w:rsidP="00A30FA7">
            <w:pPr>
              <w:spacing w:line="240" w:lineRule="auto"/>
              <w:ind w:firstLine="0"/>
              <w:jc w:val="left"/>
              <w:rPr>
                <w:color w:val="000000"/>
              </w:rPr>
            </w:pPr>
            <w:r w:rsidRPr="009C2B6E">
              <w:rPr>
                <w:color w:val="000000"/>
              </w:rPr>
              <w:t>Insulin-like growth factor</w:t>
            </w:r>
          </w:p>
        </w:tc>
      </w:tr>
      <w:tr w:rsidR="00A30FA7" w:rsidRPr="009C2B6E" w14:paraId="43D4A9F0" w14:textId="77777777" w:rsidTr="009371A9">
        <w:trPr>
          <w:trHeight w:val="310"/>
        </w:trPr>
        <w:tc>
          <w:tcPr>
            <w:tcW w:w="2250" w:type="dxa"/>
            <w:tcBorders>
              <w:top w:val="nil"/>
              <w:left w:val="nil"/>
              <w:bottom w:val="nil"/>
              <w:right w:val="nil"/>
            </w:tcBorders>
            <w:shd w:val="clear" w:color="auto" w:fill="auto"/>
            <w:noWrap/>
            <w:vAlign w:val="bottom"/>
            <w:hideMark/>
          </w:tcPr>
          <w:p w14:paraId="5D5C479D" w14:textId="77777777" w:rsidR="00A30FA7" w:rsidRPr="009C2B6E" w:rsidRDefault="00A30FA7" w:rsidP="00A30FA7">
            <w:pPr>
              <w:spacing w:line="240" w:lineRule="auto"/>
              <w:ind w:firstLine="0"/>
              <w:jc w:val="left"/>
              <w:rPr>
                <w:color w:val="000000"/>
              </w:rPr>
            </w:pPr>
            <w:r w:rsidRPr="009C2B6E">
              <w:rPr>
                <w:color w:val="000000"/>
              </w:rPr>
              <w:t>IRS</w:t>
            </w:r>
          </w:p>
        </w:tc>
        <w:tc>
          <w:tcPr>
            <w:tcW w:w="8470" w:type="dxa"/>
            <w:tcBorders>
              <w:top w:val="nil"/>
              <w:left w:val="nil"/>
              <w:bottom w:val="nil"/>
              <w:right w:val="nil"/>
            </w:tcBorders>
            <w:shd w:val="clear" w:color="auto" w:fill="auto"/>
            <w:noWrap/>
            <w:vAlign w:val="bottom"/>
            <w:hideMark/>
          </w:tcPr>
          <w:p w14:paraId="3834274E" w14:textId="43A9FB0D" w:rsidR="00A30FA7" w:rsidRPr="009C2B6E" w:rsidRDefault="00A30FA7" w:rsidP="00A30FA7">
            <w:pPr>
              <w:spacing w:line="240" w:lineRule="auto"/>
              <w:ind w:firstLine="0"/>
              <w:jc w:val="left"/>
              <w:rPr>
                <w:color w:val="000000"/>
              </w:rPr>
            </w:pPr>
            <w:r w:rsidRPr="009C2B6E">
              <w:rPr>
                <w:color w:val="000000"/>
              </w:rPr>
              <w:t xml:space="preserve">Insulin receptor substrate </w:t>
            </w:r>
          </w:p>
        </w:tc>
      </w:tr>
      <w:tr w:rsidR="00A30FA7" w:rsidRPr="009C2B6E" w14:paraId="583FEF10" w14:textId="77777777" w:rsidTr="009371A9">
        <w:trPr>
          <w:trHeight w:val="280"/>
        </w:trPr>
        <w:tc>
          <w:tcPr>
            <w:tcW w:w="2250" w:type="dxa"/>
            <w:tcBorders>
              <w:top w:val="nil"/>
              <w:left w:val="nil"/>
              <w:bottom w:val="nil"/>
              <w:right w:val="nil"/>
            </w:tcBorders>
            <w:shd w:val="clear" w:color="auto" w:fill="auto"/>
            <w:noWrap/>
            <w:vAlign w:val="bottom"/>
            <w:hideMark/>
          </w:tcPr>
          <w:p w14:paraId="5088246B" w14:textId="77777777" w:rsidR="00A30FA7" w:rsidRPr="009C2B6E" w:rsidRDefault="00A30FA7" w:rsidP="00A30FA7">
            <w:pPr>
              <w:spacing w:line="240" w:lineRule="auto"/>
              <w:ind w:firstLine="0"/>
              <w:jc w:val="left"/>
              <w:rPr>
                <w:color w:val="000000"/>
              </w:rPr>
            </w:pPr>
            <w:r w:rsidRPr="009C2B6E">
              <w:rPr>
                <w:color w:val="000000"/>
              </w:rPr>
              <w:t>PI3K</w:t>
            </w:r>
          </w:p>
        </w:tc>
        <w:tc>
          <w:tcPr>
            <w:tcW w:w="8470" w:type="dxa"/>
            <w:tcBorders>
              <w:top w:val="nil"/>
              <w:left w:val="nil"/>
              <w:bottom w:val="nil"/>
              <w:right w:val="nil"/>
            </w:tcBorders>
            <w:shd w:val="clear" w:color="auto" w:fill="auto"/>
            <w:noWrap/>
            <w:vAlign w:val="bottom"/>
            <w:hideMark/>
          </w:tcPr>
          <w:p w14:paraId="11E9FA9C" w14:textId="077B1EE0" w:rsidR="00A30FA7" w:rsidRPr="009C2B6E" w:rsidRDefault="00A30FA7" w:rsidP="00A30FA7">
            <w:pPr>
              <w:spacing w:line="240" w:lineRule="auto"/>
              <w:ind w:firstLine="0"/>
              <w:jc w:val="left"/>
              <w:rPr>
                <w:color w:val="000000"/>
              </w:rPr>
            </w:pPr>
            <w:r w:rsidRPr="009C2B6E">
              <w:rPr>
                <w:color w:val="000000"/>
              </w:rPr>
              <w:t xml:space="preserve">Phosphatidylinositol-3-kinase </w:t>
            </w:r>
          </w:p>
        </w:tc>
      </w:tr>
      <w:tr w:rsidR="00A30FA7" w:rsidRPr="009C2B6E" w14:paraId="7D05B278" w14:textId="77777777" w:rsidTr="009371A9">
        <w:trPr>
          <w:trHeight w:val="280"/>
        </w:trPr>
        <w:tc>
          <w:tcPr>
            <w:tcW w:w="2250" w:type="dxa"/>
            <w:tcBorders>
              <w:top w:val="nil"/>
              <w:left w:val="nil"/>
              <w:bottom w:val="nil"/>
              <w:right w:val="nil"/>
            </w:tcBorders>
            <w:shd w:val="clear" w:color="auto" w:fill="auto"/>
            <w:noWrap/>
            <w:vAlign w:val="bottom"/>
            <w:hideMark/>
          </w:tcPr>
          <w:p w14:paraId="27C32217" w14:textId="77777777" w:rsidR="00A30FA7" w:rsidRPr="009C2B6E" w:rsidRDefault="00A30FA7" w:rsidP="00A30FA7">
            <w:pPr>
              <w:spacing w:line="240" w:lineRule="auto"/>
              <w:ind w:firstLine="0"/>
              <w:jc w:val="left"/>
              <w:rPr>
                <w:color w:val="000000"/>
              </w:rPr>
            </w:pPr>
            <w:r w:rsidRPr="009C2B6E">
              <w:rPr>
                <w:color w:val="000000"/>
              </w:rPr>
              <w:t>PIP2</w:t>
            </w:r>
          </w:p>
        </w:tc>
        <w:tc>
          <w:tcPr>
            <w:tcW w:w="8470" w:type="dxa"/>
            <w:tcBorders>
              <w:top w:val="nil"/>
              <w:left w:val="nil"/>
              <w:bottom w:val="nil"/>
              <w:right w:val="nil"/>
            </w:tcBorders>
            <w:shd w:val="clear" w:color="auto" w:fill="auto"/>
            <w:noWrap/>
            <w:vAlign w:val="bottom"/>
            <w:hideMark/>
          </w:tcPr>
          <w:p w14:paraId="03FF87B4" w14:textId="7DB717F4" w:rsidR="00A30FA7" w:rsidRPr="009C2B6E" w:rsidRDefault="00A30FA7" w:rsidP="00A30FA7">
            <w:pPr>
              <w:spacing w:line="240" w:lineRule="auto"/>
              <w:ind w:firstLine="0"/>
              <w:jc w:val="left"/>
              <w:rPr>
                <w:color w:val="000000"/>
              </w:rPr>
            </w:pPr>
            <w:r w:rsidRPr="009C2B6E">
              <w:rPr>
                <w:color w:val="000000"/>
              </w:rPr>
              <w:t xml:space="preserve">Phosphatidylinositol-(4,5)-bisphosphate </w:t>
            </w:r>
          </w:p>
        </w:tc>
      </w:tr>
      <w:tr w:rsidR="00A30FA7" w:rsidRPr="009C2B6E" w14:paraId="45787414" w14:textId="77777777" w:rsidTr="009371A9">
        <w:trPr>
          <w:trHeight w:val="310"/>
        </w:trPr>
        <w:tc>
          <w:tcPr>
            <w:tcW w:w="2250" w:type="dxa"/>
            <w:tcBorders>
              <w:top w:val="nil"/>
              <w:left w:val="nil"/>
              <w:bottom w:val="nil"/>
              <w:right w:val="nil"/>
            </w:tcBorders>
            <w:shd w:val="clear" w:color="auto" w:fill="auto"/>
            <w:noWrap/>
            <w:vAlign w:val="bottom"/>
            <w:hideMark/>
          </w:tcPr>
          <w:p w14:paraId="5E9C9AA1" w14:textId="77777777" w:rsidR="00A30FA7" w:rsidRPr="009C2B6E" w:rsidRDefault="00A30FA7" w:rsidP="00A30FA7">
            <w:pPr>
              <w:spacing w:line="240" w:lineRule="auto"/>
              <w:ind w:firstLine="0"/>
              <w:jc w:val="left"/>
              <w:rPr>
                <w:color w:val="000000"/>
              </w:rPr>
            </w:pPr>
            <w:r w:rsidRPr="009C2B6E">
              <w:rPr>
                <w:color w:val="000000"/>
              </w:rPr>
              <w:t>PIP3</w:t>
            </w:r>
          </w:p>
        </w:tc>
        <w:tc>
          <w:tcPr>
            <w:tcW w:w="8470" w:type="dxa"/>
            <w:tcBorders>
              <w:top w:val="nil"/>
              <w:left w:val="nil"/>
              <w:bottom w:val="nil"/>
              <w:right w:val="nil"/>
            </w:tcBorders>
            <w:shd w:val="clear" w:color="auto" w:fill="auto"/>
            <w:noWrap/>
            <w:vAlign w:val="bottom"/>
            <w:hideMark/>
          </w:tcPr>
          <w:p w14:paraId="38E50834" w14:textId="604D9A98" w:rsidR="00A30FA7" w:rsidRPr="009C2B6E" w:rsidRDefault="00A30FA7" w:rsidP="00A30FA7">
            <w:pPr>
              <w:spacing w:line="240" w:lineRule="auto"/>
              <w:ind w:firstLine="0"/>
              <w:jc w:val="left"/>
              <w:rPr>
                <w:color w:val="000000"/>
              </w:rPr>
            </w:pPr>
            <w:r w:rsidRPr="009C2B6E">
              <w:rPr>
                <w:color w:val="000000"/>
              </w:rPr>
              <w:t xml:space="preserve">Phosphatidylinositol-(3,4,5)-trisphosphate </w:t>
            </w:r>
          </w:p>
        </w:tc>
      </w:tr>
      <w:tr w:rsidR="00A30FA7" w:rsidRPr="009C2B6E" w14:paraId="6488008A" w14:textId="77777777" w:rsidTr="009371A9">
        <w:trPr>
          <w:trHeight w:val="280"/>
        </w:trPr>
        <w:tc>
          <w:tcPr>
            <w:tcW w:w="2250" w:type="dxa"/>
            <w:tcBorders>
              <w:top w:val="nil"/>
              <w:left w:val="nil"/>
              <w:bottom w:val="nil"/>
              <w:right w:val="nil"/>
            </w:tcBorders>
            <w:shd w:val="clear" w:color="auto" w:fill="auto"/>
            <w:noWrap/>
            <w:vAlign w:val="bottom"/>
            <w:hideMark/>
          </w:tcPr>
          <w:p w14:paraId="3909FE28" w14:textId="77777777" w:rsidR="00A30FA7" w:rsidRPr="009C2B6E" w:rsidRDefault="00A30FA7" w:rsidP="00A30FA7">
            <w:pPr>
              <w:spacing w:line="240" w:lineRule="auto"/>
              <w:ind w:firstLine="0"/>
              <w:jc w:val="left"/>
              <w:rPr>
                <w:color w:val="000000"/>
              </w:rPr>
            </w:pPr>
            <w:r w:rsidRPr="009C2B6E">
              <w:rPr>
                <w:color w:val="000000"/>
              </w:rPr>
              <w:t>mTOR</w:t>
            </w:r>
          </w:p>
        </w:tc>
        <w:tc>
          <w:tcPr>
            <w:tcW w:w="8470" w:type="dxa"/>
            <w:tcBorders>
              <w:top w:val="nil"/>
              <w:left w:val="nil"/>
              <w:bottom w:val="nil"/>
              <w:right w:val="nil"/>
            </w:tcBorders>
            <w:shd w:val="clear" w:color="auto" w:fill="auto"/>
            <w:noWrap/>
            <w:vAlign w:val="bottom"/>
            <w:hideMark/>
          </w:tcPr>
          <w:p w14:paraId="4F6804AB" w14:textId="121E4EBD" w:rsidR="00A30FA7" w:rsidRPr="009C2B6E" w:rsidRDefault="00A30FA7" w:rsidP="00A30FA7">
            <w:pPr>
              <w:spacing w:line="240" w:lineRule="auto"/>
              <w:ind w:firstLine="0"/>
              <w:jc w:val="left"/>
              <w:rPr>
                <w:color w:val="000000"/>
              </w:rPr>
            </w:pPr>
            <w:r w:rsidRPr="009C2B6E">
              <w:rPr>
                <w:color w:val="000000"/>
              </w:rPr>
              <w:t>Mammalian target of rapamycin</w:t>
            </w:r>
          </w:p>
        </w:tc>
      </w:tr>
      <w:tr w:rsidR="00A30FA7" w:rsidRPr="009C2B6E" w14:paraId="5A6CC3B1" w14:textId="77777777" w:rsidTr="009371A9">
        <w:trPr>
          <w:trHeight w:val="310"/>
        </w:trPr>
        <w:tc>
          <w:tcPr>
            <w:tcW w:w="2250" w:type="dxa"/>
            <w:tcBorders>
              <w:top w:val="nil"/>
              <w:left w:val="nil"/>
              <w:bottom w:val="nil"/>
              <w:right w:val="nil"/>
            </w:tcBorders>
            <w:shd w:val="clear" w:color="auto" w:fill="auto"/>
            <w:noWrap/>
            <w:vAlign w:val="bottom"/>
            <w:hideMark/>
          </w:tcPr>
          <w:p w14:paraId="5089A7F7" w14:textId="77777777" w:rsidR="00A30FA7" w:rsidRPr="009C2B6E" w:rsidRDefault="00A30FA7" w:rsidP="00A30FA7">
            <w:pPr>
              <w:spacing w:line="240" w:lineRule="auto"/>
              <w:ind w:firstLine="0"/>
              <w:jc w:val="left"/>
              <w:rPr>
                <w:color w:val="000000"/>
              </w:rPr>
            </w:pPr>
            <w:r w:rsidRPr="009C2B6E">
              <w:rPr>
                <w:color w:val="000000"/>
              </w:rPr>
              <w:t>Akt</w:t>
            </w:r>
          </w:p>
        </w:tc>
        <w:tc>
          <w:tcPr>
            <w:tcW w:w="8470" w:type="dxa"/>
            <w:tcBorders>
              <w:top w:val="nil"/>
              <w:left w:val="nil"/>
              <w:bottom w:val="nil"/>
              <w:right w:val="nil"/>
            </w:tcBorders>
            <w:shd w:val="clear" w:color="auto" w:fill="auto"/>
            <w:noWrap/>
            <w:vAlign w:val="bottom"/>
            <w:hideMark/>
          </w:tcPr>
          <w:p w14:paraId="4BFD95E8" w14:textId="77777777" w:rsidR="00A30FA7" w:rsidRPr="009C2B6E" w:rsidRDefault="00A30FA7" w:rsidP="00A30FA7">
            <w:pPr>
              <w:spacing w:line="240" w:lineRule="auto"/>
              <w:ind w:firstLine="0"/>
              <w:jc w:val="left"/>
              <w:rPr>
                <w:color w:val="000000"/>
              </w:rPr>
            </w:pPr>
            <w:r w:rsidRPr="009C2B6E">
              <w:rPr>
                <w:color w:val="000000"/>
              </w:rPr>
              <w:t>Protein kinase B</w:t>
            </w:r>
          </w:p>
        </w:tc>
      </w:tr>
      <w:tr w:rsidR="00A30FA7" w:rsidRPr="009C2B6E" w14:paraId="53594B93" w14:textId="77777777" w:rsidTr="009371A9">
        <w:trPr>
          <w:trHeight w:val="310"/>
        </w:trPr>
        <w:tc>
          <w:tcPr>
            <w:tcW w:w="2250" w:type="dxa"/>
            <w:tcBorders>
              <w:top w:val="nil"/>
              <w:left w:val="nil"/>
              <w:bottom w:val="nil"/>
              <w:right w:val="nil"/>
            </w:tcBorders>
            <w:shd w:val="clear" w:color="auto" w:fill="auto"/>
            <w:noWrap/>
            <w:vAlign w:val="bottom"/>
            <w:hideMark/>
          </w:tcPr>
          <w:p w14:paraId="199C320C" w14:textId="77777777" w:rsidR="00A30FA7" w:rsidRPr="009C2B6E" w:rsidRDefault="00A30FA7" w:rsidP="00A30FA7">
            <w:pPr>
              <w:spacing w:line="240" w:lineRule="auto"/>
              <w:ind w:firstLine="0"/>
              <w:jc w:val="left"/>
              <w:rPr>
                <w:color w:val="000000"/>
              </w:rPr>
            </w:pPr>
            <w:r w:rsidRPr="009C2B6E">
              <w:rPr>
                <w:color w:val="000000"/>
              </w:rPr>
              <w:t>S6K1</w:t>
            </w:r>
          </w:p>
        </w:tc>
        <w:tc>
          <w:tcPr>
            <w:tcW w:w="8470" w:type="dxa"/>
            <w:tcBorders>
              <w:top w:val="nil"/>
              <w:left w:val="nil"/>
              <w:bottom w:val="nil"/>
              <w:right w:val="nil"/>
            </w:tcBorders>
            <w:shd w:val="clear" w:color="auto" w:fill="auto"/>
            <w:noWrap/>
            <w:vAlign w:val="bottom"/>
            <w:hideMark/>
          </w:tcPr>
          <w:p w14:paraId="1838BA8C" w14:textId="77777777" w:rsidR="00A30FA7" w:rsidRPr="009C2B6E" w:rsidRDefault="00A30FA7" w:rsidP="00A30FA7">
            <w:pPr>
              <w:spacing w:line="240" w:lineRule="auto"/>
              <w:ind w:firstLine="0"/>
              <w:jc w:val="left"/>
              <w:rPr>
                <w:color w:val="000000"/>
              </w:rPr>
            </w:pPr>
            <w:r w:rsidRPr="009C2B6E">
              <w:rPr>
                <w:color w:val="000000"/>
              </w:rPr>
              <w:t>S6 kinase beta-1</w:t>
            </w:r>
          </w:p>
        </w:tc>
      </w:tr>
      <w:tr w:rsidR="00A30FA7" w:rsidRPr="009C2B6E" w14:paraId="2EC7ABB2" w14:textId="77777777" w:rsidTr="009371A9">
        <w:trPr>
          <w:trHeight w:val="310"/>
        </w:trPr>
        <w:tc>
          <w:tcPr>
            <w:tcW w:w="2250" w:type="dxa"/>
            <w:tcBorders>
              <w:top w:val="nil"/>
              <w:left w:val="nil"/>
              <w:bottom w:val="nil"/>
              <w:right w:val="nil"/>
            </w:tcBorders>
            <w:shd w:val="clear" w:color="auto" w:fill="auto"/>
            <w:noWrap/>
            <w:vAlign w:val="bottom"/>
            <w:hideMark/>
          </w:tcPr>
          <w:p w14:paraId="23B52184" w14:textId="77777777" w:rsidR="00A30FA7" w:rsidRPr="009C2B6E" w:rsidRDefault="00A30FA7" w:rsidP="00A30FA7">
            <w:pPr>
              <w:spacing w:line="240" w:lineRule="auto"/>
              <w:ind w:firstLine="0"/>
              <w:jc w:val="left"/>
              <w:rPr>
                <w:color w:val="000000"/>
              </w:rPr>
            </w:pPr>
            <w:r w:rsidRPr="009C2B6E">
              <w:rPr>
                <w:color w:val="000000"/>
              </w:rPr>
              <w:t>Ub</w:t>
            </w:r>
          </w:p>
        </w:tc>
        <w:tc>
          <w:tcPr>
            <w:tcW w:w="8470" w:type="dxa"/>
            <w:tcBorders>
              <w:top w:val="nil"/>
              <w:left w:val="nil"/>
              <w:bottom w:val="nil"/>
              <w:right w:val="nil"/>
            </w:tcBorders>
            <w:shd w:val="clear" w:color="auto" w:fill="auto"/>
            <w:noWrap/>
            <w:vAlign w:val="bottom"/>
            <w:hideMark/>
          </w:tcPr>
          <w:p w14:paraId="76D399FE" w14:textId="6558BFF3" w:rsidR="00A30FA7" w:rsidRPr="009C2B6E" w:rsidRDefault="00A30FA7" w:rsidP="00A30FA7">
            <w:pPr>
              <w:spacing w:line="240" w:lineRule="auto"/>
              <w:ind w:firstLine="0"/>
              <w:jc w:val="left"/>
              <w:rPr>
                <w:color w:val="000000"/>
              </w:rPr>
            </w:pPr>
            <w:r w:rsidRPr="009C2B6E">
              <w:rPr>
                <w:color w:val="000000"/>
              </w:rPr>
              <w:t>Ubiquitin</w:t>
            </w:r>
          </w:p>
        </w:tc>
      </w:tr>
      <w:tr w:rsidR="00A30FA7" w:rsidRPr="009C2B6E" w14:paraId="43339B98" w14:textId="77777777" w:rsidTr="009371A9">
        <w:trPr>
          <w:trHeight w:val="310"/>
        </w:trPr>
        <w:tc>
          <w:tcPr>
            <w:tcW w:w="2250" w:type="dxa"/>
            <w:tcBorders>
              <w:top w:val="nil"/>
              <w:left w:val="nil"/>
              <w:bottom w:val="nil"/>
              <w:right w:val="nil"/>
            </w:tcBorders>
            <w:shd w:val="clear" w:color="auto" w:fill="auto"/>
            <w:noWrap/>
            <w:vAlign w:val="bottom"/>
            <w:hideMark/>
          </w:tcPr>
          <w:p w14:paraId="3D12A069" w14:textId="77777777" w:rsidR="00A30FA7" w:rsidRPr="009C2B6E" w:rsidRDefault="00A30FA7" w:rsidP="00A30FA7">
            <w:pPr>
              <w:spacing w:line="240" w:lineRule="auto"/>
              <w:ind w:firstLine="0"/>
              <w:jc w:val="left"/>
              <w:rPr>
                <w:color w:val="000000"/>
              </w:rPr>
            </w:pPr>
            <w:r w:rsidRPr="009C2B6E">
              <w:rPr>
                <w:color w:val="000000"/>
              </w:rPr>
              <w:t>MuRF</w:t>
            </w:r>
          </w:p>
        </w:tc>
        <w:tc>
          <w:tcPr>
            <w:tcW w:w="8470" w:type="dxa"/>
            <w:tcBorders>
              <w:top w:val="nil"/>
              <w:left w:val="nil"/>
              <w:bottom w:val="nil"/>
              <w:right w:val="nil"/>
            </w:tcBorders>
            <w:shd w:val="clear" w:color="auto" w:fill="auto"/>
            <w:noWrap/>
            <w:vAlign w:val="bottom"/>
            <w:hideMark/>
          </w:tcPr>
          <w:p w14:paraId="0EA0A055" w14:textId="77777777" w:rsidR="00A30FA7" w:rsidRPr="009C2B6E" w:rsidRDefault="00A30FA7" w:rsidP="00A30FA7">
            <w:pPr>
              <w:spacing w:line="240" w:lineRule="auto"/>
              <w:ind w:firstLine="0"/>
              <w:jc w:val="left"/>
              <w:rPr>
                <w:color w:val="000000"/>
              </w:rPr>
            </w:pPr>
            <w:r w:rsidRPr="009C2B6E">
              <w:rPr>
                <w:color w:val="000000"/>
              </w:rPr>
              <w:t xml:space="preserve">Muscle really interesting new gene finger </w:t>
            </w:r>
          </w:p>
        </w:tc>
      </w:tr>
      <w:tr w:rsidR="00A30FA7" w:rsidRPr="009C2B6E" w14:paraId="1CAE23CC" w14:textId="77777777" w:rsidTr="009371A9">
        <w:trPr>
          <w:trHeight w:val="280"/>
        </w:trPr>
        <w:tc>
          <w:tcPr>
            <w:tcW w:w="2250" w:type="dxa"/>
            <w:tcBorders>
              <w:top w:val="nil"/>
              <w:left w:val="nil"/>
              <w:bottom w:val="nil"/>
              <w:right w:val="nil"/>
            </w:tcBorders>
            <w:shd w:val="clear" w:color="auto" w:fill="auto"/>
            <w:noWrap/>
            <w:vAlign w:val="bottom"/>
            <w:hideMark/>
          </w:tcPr>
          <w:p w14:paraId="2DE4F155" w14:textId="77777777" w:rsidR="00A30FA7" w:rsidRPr="009C2B6E" w:rsidRDefault="00A30FA7" w:rsidP="00A30FA7">
            <w:pPr>
              <w:spacing w:line="240" w:lineRule="auto"/>
              <w:ind w:firstLine="0"/>
              <w:jc w:val="left"/>
              <w:rPr>
                <w:color w:val="000000"/>
              </w:rPr>
            </w:pPr>
            <w:r w:rsidRPr="009C2B6E">
              <w:rPr>
                <w:color w:val="000000"/>
              </w:rPr>
              <w:t>CSA</w:t>
            </w:r>
          </w:p>
        </w:tc>
        <w:tc>
          <w:tcPr>
            <w:tcW w:w="8470" w:type="dxa"/>
            <w:tcBorders>
              <w:top w:val="nil"/>
              <w:left w:val="nil"/>
              <w:bottom w:val="nil"/>
              <w:right w:val="nil"/>
            </w:tcBorders>
            <w:shd w:val="clear" w:color="auto" w:fill="auto"/>
            <w:noWrap/>
            <w:vAlign w:val="bottom"/>
            <w:hideMark/>
          </w:tcPr>
          <w:p w14:paraId="430B1EEC" w14:textId="69660607" w:rsidR="00A30FA7" w:rsidRPr="009C2B6E" w:rsidRDefault="00A30FA7" w:rsidP="00A30FA7">
            <w:pPr>
              <w:spacing w:line="240" w:lineRule="auto"/>
              <w:ind w:firstLine="0"/>
              <w:jc w:val="left"/>
              <w:rPr>
                <w:color w:val="000000"/>
              </w:rPr>
            </w:pPr>
            <w:r w:rsidRPr="009C2B6E">
              <w:rPr>
                <w:color w:val="000000"/>
              </w:rPr>
              <w:t xml:space="preserve">Cross-sectional area </w:t>
            </w:r>
          </w:p>
        </w:tc>
      </w:tr>
      <w:tr w:rsidR="00A30FA7" w:rsidRPr="009C2B6E" w14:paraId="4295A84D" w14:textId="77777777" w:rsidTr="009371A9">
        <w:trPr>
          <w:trHeight w:val="280"/>
        </w:trPr>
        <w:tc>
          <w:tcPr>
            <w:tcW w:w="2250" w:type="dxa"/>
            <w:tcBorders>
              <w:top w:val="nil"/>
              <w:left w:val="nil"/>
              <w:bottom w:val="nil"/>
              <w:right w:val="nil"/>
            </w:tcBorders>
            <w:shd w:val="clear" w:color="auto" w:fill="auto"/>
            <w:noWrap/>
            <w:vAlign w:val="bottom"/>
            <w:hideMark/>
          </w:tcPr>
          <w:p w14:paraId="5F9FF757" w14:textId="77777777" w:rsidR="00A30FA7" w:rsidRPr="009C2B6E" w:rsidRDefault="00A30FA7" w:rsidP="00A30FA7">
            <w:pPr>
              <w:spacing w:line="240" w:lineRule="auto"/>
              <w:ind w:firstLine="0"/>
              <w:jc w:val="left"/>
              <w:rPr>
                <w:color w:val="000000"/>
              </w:rPr>
            </w:pPr>
            <w:r w:rsidRPr="009C2B6E">
              <w:rPr>
                <w:color w:val="000000"/>
              </w:rPr>
              <w:t>CD</w:t>
            </w:r>
          </w:p>
        </w:tc>
        <w:tc>
          <w:tcPr>
            <w:tcW w:w="8470" w:type="dxa"/>
            <w:tcBorders>
              <w:top w:val="nil"/>
              <w:left w:val="nil"/>
              <w:bottom w:val="nil"/>
              <w:right w:val="nil"/>
            </w:tcBorders>
            <w:shd w:val="clear" w:color="auto" w:fill="auto"/>
            <w:noWrap/>
            <w:vAlign w:val="bottom"/>
            <w:hideMark/>
          </w:tcPr>
          <w:p w14:paraId="16E0A138" w14:textId="0FCBA322" w:rsidR="00A30FA7" w:rsidRPr="009C2B6E" w:rsidRDefault="00A30FA7" w:rsidP="00A30FA7">
            <w:pPr>
              <w:spacing w:line="240" w:lineRule="auto"/>
              <w:ind w:firstLine="0"/>
              <w:jc w:val="left"/>
              <w:rPr>
                <w:color w:val="000000"/>
              </w:rPr>
            </w:pPr>
            <w:r w:rsidRPr="009C2B6E">
              <w:rPr>
                <w:color w:val="000000"/>
              </w:rPr>
              <w:t>Cluster of differentiation</w:t>
            </w:r>
          </w:p>
        </w:tc>
      </w:tr>
      <w:tr w:rsidR="00A30FA7" w:rsidRPr="009C2B6E" w14:paraId="59F4A86C" w14:textId="77777777" w:rsidTr="009371A9">
        <w:trPr>
          <w:trHeight w:val="310"/>
        </w:trPr>
        <w:tc>
          <w:tcPr>
            <w:tcW w:w="2250" w:type="dxa"/>
            <w:tcBorders>
              <w:top w:val="nil"/>
              <w:left w:val="nil"/>
              <w:bottom w:val="nil"/>
              <w:right w:val="nil"/>
            </w:tcBorders>
            <w:shd w:val="clear" w:color="auto" w:fill="auto"/>
            <w:noWrap/>
            <w:vAlign w:val="bottom"/>
            <w:hideMark/>
          </w:tcPr>
          <w:p w14:paraId="02666C57" w14:textId="77777777" w:rsidR="00A30FA7" w:rsidRPr="009C2B6E" w:rsidRDefault="00A30FA7" w:rsidP="00A30FA7">
            <w:pPr>
              <w:spacing w:line="240" w:lineRule="auto"/>
              <w:ind w:firstLine="0"/>
              <w:jc w:val="left"/>
              <w:rPr>
                <w:color w:val="000000"/>
              </w:rPr>
            </w:pPr>
            <w:r w:rsidRPr="009C2B6E">
              <w:rPr>
                <w:color w:val="000000"/>
              </w:rPr>
              <w:t>OCT</w:t>
            </w:r>
          </w:p>
        </w:tc>
        <w:tc>
          <w:tcPr>
            <w:tcW w:w="8470" w:type="dxa"/>
            <w:tcBorders>
              <w:top w:val="nil"/>
              <w:left w:val="nil"/>
              <w:bottom w:val="nil"/>
              <w:right w:val="nil"/>
            </w:tcBorders>
            <w:shd w:val="clear" w:color="auto" w:fill="auto"/>
            <w:noWrap/>
            <w:vAlign w:val="bottom"/>
            <w:hideMark/>
          </w:tcPr>
          <w:p w14:paraId="2E56FB55" w14:textId="739CE70B" w:rsidR="00A30FA7" w:rsidRPr="009C2B6E" w:rsidRDefault="00A30FA7" w:rsidP="00A30FA7">
            <w:pPr>
              <w:spacing w:line="240" w:lineRule="auto"/>
              <w:ind w:firstLine="0"/>
              <w:jc w:val="left"/>
              <w:rPr>
                <w:color w:val="000000"/>
              </w:rPr>
            </w:pPr>
            <w:r w:rsidRPr="009C2B6E">
              <w:rPr>
                <w:color w:val="000000"/>
              </w:rPr>
              <w:t xml:space="preserve">Optimal cutting temperature </w:t>
            </w:r>
          </w:p>
        </w:tc>
      </w:tr>
      <w:tr w:rsidR="00A30FA7" w:rsidRPr="009C2B6E" w14:paraId="1DF75559" w14:textId="77777777" w:rsidTr="009371A9">
        <w:trPr>
          <w:trHeight w:val="310"/>
        </w:trPr>
        <w:tc>
          <w:tcPr>
            <w:tcW w:w="2250" w:type="dxa"/>
            <w:tcBorders>
              <w:top w:val="nil"/>
              <w:left w:val="nil"/>
              <w:bottom w:val="nil"/>
              <w:right w:val="nil"/>
            </w:tcBorders>
            <w:shd w:val="clear" w:color="auto" w:fill="auto"/>
            <w:noWrap/>
            <w:vAlign w:val="bottom"/>
            <w:hideMark/>
          </w:tcPr>
          <w:p w14:paraId="19EE1F16" w14:textId="77777777" w:rsidR="00A30FA7" w:rsidRPr="009C2B6E" w:rsidRDefault="00A30FA7" w:rsidP="00A30FA7">
            <w:pPr>
              <w:spacing w:line="240" w:lineRule="auto"/>
              <w:ind w:firstLine="0"/>
              <w:jc w:val="left"/>
              <w:rPr>
                <w:color w:val="000000"/>
              </w:rPr>
            </w:pPr>
            <w:r w:rsidRPr="009C2B6E">
              <w:rPr>
                <w:color w:val="000000"/>
              </w:rPr>
              <w:t>IV</w:t>
            </w:r>
          </w:p>
        </w:tc>
        <w:tc>
          <w:tcPr>
            <w:tcW w:w="8470" w:type="dxa"/>
            <w:tcBorders>
              <w:top w:val="nil"/>
              <w:left w:val="nil"/>
              <w:bottom w:val="nil"/>
              <w:right w:val="nil"/>
            </w:tcBorders>
            <w:shd w:val="clear" w:color="auto" w:fill="auto"/>
            <w:noWrap/>
            <w:vAlign w:val="bottom"/>
            <w:hideMark/>
          </w:tcPr>
          <w:p w14:paraId="5F2B5F63" w14:textId="0E51CB1C" w:rsidR="00A30FA7" w:rsidRPr="009C2B6E" w:rsidRDefault="00A30FA7" w:rsidP="00A30FA7">
            <w:pPr>
              <w:spacing w:line="240" w:lineRule="auto"/>
              <w:ind w:firstLine="0"/>
              <w:jc w:val="left"/>
              <w:rPr>
                <w:color w:val="000000"/>
              </w:rPr>
            </w:pPr>
            <w:r w:rsidRPr="009C2B6E">
              <w:rPr>
                <w:color w:val="000000"/>
              </w:rPr>
              <w:t>Intravenous</w:t>
            </w:r>
          </w:p>
        </w:tc>
      </w:tr>
      <w:tr w:rsidR="00A30FA7" w:rsidRPr="009C2B6E" w14:paraId="03E8971A" w14:textId="77777777" w:rsidTr="009371A9">
        <w:trPr>
          <w:trHeight w:val="310"/>
        </w:trPr>
        <w:tc>
          <w:tcPr>
            <w:tcW w:w="2250" w:type="dxa"/>
            <w:tcBorders>
              <w:top w:val="nil"/>
              <w:left w:val="nil"/>
              <w:bottom w:val="nil"/>
              <w:right w:val="nil"/>
            </w:tcBorders>
            <w:shd w:val="clear" w:color="auto" w:fill="auto"/>
            <w:noWrap/>
            <w:vAlign w:val="bottom"/>
            <w:hideMark/>
          </w:tcPr>
          <w:p w14:paraId="3491FEE4" w14:textId="77777777" w:rsidR="00A30FA7" w:rsidRPr="009C2B6E" w:rsidRDefault="00A30FA7" w:rsidP="00A30FA7">
            <w:pPr>
              <w:spacing w:line="240" w:lineRule="auto"/>
              <w:ind w:firstLine="0"/>
              <w:jc w:val="left"/>
              <w:rPr>
                <w:color w:val="000000"/>
              </w:rPr>
            </w:pPr>
            <w:r w:rsidRPr="009C2B6E">
              <w:rPr>
                <w:color w:val="000000"/>
              </w:rPr>
              <w:t>SpO2</w:t>
            </w:r>
          </w:p>
        </w:tc>
        <w:tc>
          <w:tcPr>
            <w:tcW w:w="8470" w:type="dxa"/>
            <w:tcBorders>
              <w:top w:val="nil"/>
              <w:left w:val="nil"/>
              <w:bottom w:val="nil"/>
              <w:right w:val="nil"/>
            </w:tcBorders>
            <w:shd w:val="clear" w:color="auto" w:fill="auto"/>
            <w:noWrap/>
            <w:vAlign w:val="bottom"/>
            <w:hideMark/>
          </w:tcPr>
          <w:p w14:paraId="5FEC3636" w14:textId="09D6D50A" w:rsidR="00A30FA7" w:rsidRPr="009C2B6E" w:rsidRDefault="00A30FA7" w:rsidP="00A30FA7">
            <w:pPr>
              <w:spacing w:line="240" w:lineRule="auto"/>
              <w:ind w:firstLine="0"/>
              <w:jc w:val="left"/>
              <w:rPr>
                <w:color w:val="000000"/>
              </w:rPr>
            </w:pPr>
            <w:r w:rsidRPr="009C2B6E">
              <w:rPr>
                <w:color w:val="000000"/>
              </w:rPr>
              <w:t xml:space="preserve">Spot oxygen saturation </w:t>
            </w:r>
          </w:p>
        </w:tc>
      </w:tr>
      <w:tr w:rsidR="00A30FA7" w:rsidRPr="009C2B6E" w14:paraId="23A26592" w14:textId="77777777" w:rsidTr="009371A9">
        <w:trPr>
          <w:trHeight w:val="310"/>
        </w:trPr>
        <w:tc>
          <w:tcPr>
            <w:tcW w:w="2250" w:type="dxa"/>
            <w:tcBorders>
              <w:top w:val="nil"/>
              <w:left w:val="nil"/>
              <w:bottom w:val="nil"/>
              <w:right w:val="nil"/>
            </w:tcBorders>
            <w:shd w:val="clear" w:color="auto" w:fill="auto"/>
            <w:noWrap/>
            <w:vAlign w:val="bottom"/>
            <w:hideMark/>
          </w:tcPr>
          <w:p w14:paraId="0CF97FFD" w14:textId="77777777" w:rsidR="00A30FA7" w:rsidRPr="009C2B6E" w:rsidRDefault="00A30FA7" w:rsidP="00A30FA7">
            <w:pPr>
              <w:spacing w:line="240" w:lineRule="auto"/>
              <w:ind w:firstLine="0"/>
              <w:jc w:val="left"/>
              <w:rPr>
                <w:color w:val="000000"/>
              </w:rPr>
            </w:pPr>
            <w:r w:rsidRPr="009C2B6E">
              <w:rPr>
                <w:color w:val="000000"/>
              </w:rPr>
              <w:t>H&amp;E</w:t>
            </w:r>
          </w:p>
        </w:tc>
        <w:tc>
          <w:tcPr>
            <w:tcW w:w="8470" w:type="dxa"/>
            <w:tcBorders>
              <w:top w:val="nil"/>
              <w:left w:val="nil"/>
              <w:bottom w:val="nil"/>
              <w:right w:val="nil"/>
            </w:tcBorders>
            <w:shd w:val="clear" w:color="auto" w:fill="auto"/>
            <w:noWrap/>
            <w:vAlign w:val="bottom"/>
            <w:hideMark/>
          </w:tcPr>
          <w:p w14:paraId="5AAFC195" w14:textId="77777777" w:rsidR="00A30FA7" w:rsidRPr="009C2B6E" w:rsidRDefault="00A30FA7" w:rsidP="00A30FA7">
            <w:pPr>
              <w:spacing w:line="240" w:lineRule="auto"/>
              <w:ind w:firstLine="0"/>
              <w:jc w:val="left"/>
              <w:rPr>
                <w:color w:val="000000"/>
              </w:rPr>
            </w:pPr>
            <w:r w:rsidRPr="009C2B6E">
              <w:rPr>
                <w:color w:val="000000"/>
              </w:rPr>
              <w:t>Hematoxylin and eosin</w:t>
            </w:r>
          </w:p>
        </w:tc>
      </w:tr>
      <w:tr w:rsidR="00A30FA7" w:rsidRPr="009C2B6E" w14:paraId="5025AA6D" w14:textId="77777777" w:rsidTr="009371A9">
        <w:trPr>
          <w:trHeight w:val="280"/>
        </w:trPr>
        <w:tc>
          <w:tcPr>
            <w:tcW w:w="2250" w:type="dxa"/>
            <w:tcBorders>
              <w:top w:val="nil"/>
              <w:left w:val="nil"/>
              <w:bottom w:val="nil"/>
              <w:right w:val="nil"/>
            </w:tcBorders>
            <w:shd w:val="clear" w:color="auto" w:fill="auto"/>
            <w:noWrap/>
            <w:vAlign w:val="bottom"/>
            <w:hideMark/>
          </w:tcPr>
          <w:p w14:paraId="281F4FDB" w14:textId="77777777" w:rsidR="00A30FA7" w:rsidRPr="009C2B6E" w:rsidRDefault="00A30FA7" w:rsidP="00A30FA7">
            <w:pPr>
              <w:spacing w:line="240" w:lineRule="auto"/>
              <w:ind w:firstLine="0"/>
              <w:jc w:val="left"/>
              <w:rPr>
                <w:color w:val="000000"/>
              </w:rPr>
            </w:pPr>
            <w:r w:rsidRPr="009C2B6E">
              <w:rPr>
                <w:color w:val="000000"/>
              </w:rPr>
              <w:t>PBS</w:t>
            </w:r>
          </w:p>
        </w:tc>
        <w:tc>
          <w:tcPr>
            <w:tcW w:w="8470" w:type="dxa"/>
            <w:tcBorders>
              <w:top w:val="nil"/>
              <w:left w:val="nil"/>
              <w:bottom w:val="nil"/>
              <w:right w:val="nil"/>
            </w:tcBorders>
            <w:shd w:val="clear" w:color="auto" w:fill="auto"/>
            <w:noWrap/>
            <w:vAlign w:val="bottom"/>
            <w:hideMark/>
          </w:tcPr>
          <w:p w14:paraId="544758C7" w14:textId="4A410D46" w:rsidR="00A30FA7" w:rsidRPr="009C2B6E" w:rsidRDefault="00A30FA7" w:rsidP="00A30FA7">
            <w:pPr>
              <w:spacing w:line="240" w:lineRule="auto"/>
              <w:ind w:firstLine="0"/>
              <w:jc w:val="left"/>
              <w:rPr>
                <w:color w:val="000000"/>
              </w:rPr>
            </w:pPr>
            <w:r w:rsidRPr="009C2B6E">
              <w:rPr>
                <w:color w:val="000000"/>
              </w:rPr>
              <w:t xml:space="preserve">Phosphate-buffered saline </w:t>
            </w:r>
          </w:p>
        </w:tc>
      </w:tr>
      <w:tr w:rsidR="00A30FA7" w:rsidRPr="009C2B6E" w14:paraId="4434514C" w14:textId="77777777" w:rsidTr="009371A9">
        <w:trPr>
          <w:trHeight w:val="280"/>
        </w:trPr>
        <w:tc>
          <w:tcPr>
            <w:tcW w:w="2250" w:type="dxa"/>
            <w:tcBorders>
              <w:top w:val="nil"/>
              <w:left w:val="nil"/>
              <w:bottom w:val="nil"/>
              <w:right w:val="nil"/>
            </w:tcBorders>
            <w:shd w:val="clear" w:color="auto" w:fill="auto"/>
            <w:noWrap/>
            <w:vAlign w:val="bottom"/>
            <w:hideMark/>
          </w:tcPr>
          <w:p w14:paraId="5007F329" w14:textId="77777777" w:rsidR="00A30FA7" w:rsidRPr="009C2B6E" w:rsidRDefault="00A30FA7" w:rsidP="00A30FA7">
            <w:pPr>
              <w:spacing w:line="240" w:lineRule="auto"/>
              <w:ind w:firstLine="0"/>
              <w:jc w:val="left"/>
              <w:rPr>
                <w:color w:val="000000"/>
              </w:rPr>
            </w:pPr>
            <w:r w:rsidRPr="009C2B6E">
              <w:rPr>
                <w:color w:val="000000"/>
              </w:rPr>
              <w:t>RT</w:t>
            </w:r>
          </w:p>
        </w:tc>
        <w:tc>
          <w:tcPr>
            <w:tcW w:w="8470" w:type="dxa"/>
            <w:tcBorders>
              <w:top w:val="nil"/>
              <w:left w:val="nil"/>
              <w:bottom w:val="nil"/>
              <w:right w:val="nil"/>
            </w:tcBorders>
            <w:shd w:val="clear" w:color="auto" w:fill="auto"/>
            <w:noWrap/>
            <w:vAlign w:val="bottom"/>
            <w:hideMark/>
          </w:tcPr>
          <w:p w14:paraId="5C084462" w14:textId="77777777" w:rsidR="00A30FA7" w:rsidRPr="009C2B6E" w:rsidRDefault="00A30FA7" w:rsidP="00A30FA7">
            <w:pPr>
              <w:spacing w:line="240" w:lineRule="auto"/>
              <w:ind w:firstLine="0"/>
              <w:jc w:val="left"/>
              <w:rPr>
                <w:color w:val="000000"/>
              </w:rPr>
            </w:pPr>
            <w:r w:rsidRPr="009C2B6E">
              <w:rPr>
                <w:color w:val="000000"/>
              </w:rPr>
              <w:t xml:space="preserve">Room temperature </w:t>
            </w:r>
          </w:p>
        </w:tc>
      </w:tr>
      <w:tr w:rsidR="009371A9" w:rsidRPr="009C2B6E" w14:paraId="5554BC8A" w14:textId="77777777" w:rsidTr="009371A9">
        <w:trPr>
          <w:trHeight w:val="310"/>
        </w:trPr>
        <w:tc>
          <w:tcPr>
            <w:tcW w:w="2250" w:type="dxa"/>
            <w:tcBorders>
              <w:top w:val="nil"/>
              <w:left w:val="nil"/>
              <w:bottom w:val="nil"/>
              <w:right w:val="nil"/>
            </w:tcBorders>
            <w:shd w:val="clear" w:color="auto" w:fill="auto"/>
            <w:noWrap/>
            <w:vAlign w:val="bottom"/>
            <w:hideMark/>
          </w:tcPr>
          <w:p w14:paraId="261FA774" w14:textId="1AB71047" w:rsidR="009371A9" w:rsidRPr="009C2B6E" w:rsidRDefault="009371A9" w:rsidP="009371A9">
            <w:pPr>
              <w:spacing w:line="240" w:lineRule="auto"/>
              <w:ind w:firstLine="0"/>
              <w:jc w:val="left"/>
              <w:rPr>
                <w:color w:val="000000"/>
              </w:rPr>
            </w:pPr>
            <w:r w:rsidRPr="009C2B6E">
              <w:rPr>
                <w:color w:val="000000"/>
              </w:rPr>
              <w:t xml:space="preserve">DAPI </w:t>
            </w:r>
          </w:p>
        </w:tc>
        <w:tc>
          <w:tcPr>
            <w:tcW w:w="8470" w:type="dxa"/>
            <w:tcBorders>
              <w:top w:val="nil"/>
              <w:left w:val="nil"/>
              <w:bottom w:val="nil"/>
              <w:right w:val="nil"/>
            </w:tcBorders>
            <w:shd w:val="clear" w:color="auto" w:fill="auto"/>
            <w:noWrap/>
            <w:vAlign w:val="bottom"/>
            <w:hideMark/>
          </w:tcPr>
          <w:p w14:paraId="2767D4A0" w14:textId="3A6BD9DB" w:rsidR="009371A9" w:rsidRPr="009C2B6E" w:rsidRDefault="009371A9" w:rsidP="009371A9">
            <w:pPr>
              <w:spacing w:line="240" w:lineRule="auto"/>
              <w:ind w:firstLine="0"/>
              <w:jc w:val="left"/>
              <w:rPr>
                <w:color w:val="000000"/>
              </w:rPr>
            </w:pPr>
            <w:r w:rsidRPr="009C2B6E">
              <w:rPr>
                <w:color w:val="000000"/>
              </w:rPr>
              <w:t xml:space="preserve">4′,6-diamidino-2-phenylindole </w:t>
            </w:r>
          </w:p>
        </w:tc>
      </w:tr>
      <w:tr w:rsidR="009371A9" w:rsidRPr="009C2B6E" w14:paraId="2708C137" w14:textId="77777777" w:rsidTr="009371A9">
        <w:trPr>
          <w:trHeight w:val="280"/>
        </w:trPr>
        <w:tc>
          <w:tcPr>
            <w:tcW w:w="2250" w:type="dxa"/>
            <w:tcBorders>
              <w:top w:val="nil"/>
              <w:left w:val="nil"/>
              <w:bottom w:val="nil"/>
              <w:right w:val="nil"/>
            </w:tcBorders>
            <w:shd w:val="clear" w:color="auto" w:fill="auto"/>
            <w:noWrap/>
            <w:vAlign w:val="bottom"/>
            <w:hideMark/>
          </w:tcPr>
          <w:p w14:paraId="2ED1DFBD" w14:textId="77777777" w:rsidR="009371A9" w:rsidRPr="009C2B6E" w:rsidRDefault="009371A9" w:rsidP="009371A9">
            <w:pPr>
              <w:spacing w:line="240" w:lineRule="auto"/>
              <w:ind w:firstLine="0"/>
              <w:jc w:val="left"/>
              <w:rPr>
                <w:color w:val="000000"/>
              </w:rPr>
            </w:pPr>
            <w:r w:rsidRPr="009C2B6E">
              <w:rPr>
                <w:color w:val="000000"/>
              </w:rPr>
              <w:t>dH2O</w:t>
            </w:r>
          </w:p>
        </w:tc>
        <w:tc>
          <w:tcPr>
            <w:tcW w:w="8470" w:type="dxa"/>
            <w:tcBorders>
              <w:top w:val="nil"/>
              <w:left w:val="nil"/>
              <w:bottom w:val="nil"/>
              <w:right w:val="nil"/>
            </w:tcBorders>
            <w:shd w:val="clear" w:color="auto" w:fill="auto"/>
            <w:noWrap/>
            <w:vAlign w:val="bottom"/>
            <w:hideMark/>
          </w:tcPr>
          <w:p w14:paraId="448114D3" w14:textId="7B55A8ED" w:rsidR="009371A9" w:rsidRPr="009C2B6E" w:rsidRDefault="009371A9" w:rsidP="009371A9">
            <w:pPr>
              <w:spacing w:line="240" w:lineRule="auto"/>
              <w:ind w:firstLine="0"/>
              <w:jc w:val="left"/>
              <w:rPr>
                <w:color w:val="000000"/>
              </w:rPr>
            </w:pPr>
            <w:r w:rsidRPr="009C2B6E">
              <w:rPr>
                <w:color w:val="000000"/>
              </w:rPr>
              <w:t xml:space="preserve">Distilled water </w:t>
            </w:r>
          </w:p>
        </w:tc>
      </w:tr>
      <w:tr w:rsidR="009371A9" w:rsidRPr="009C2B6E" w14:paraId="003D16D7" w14:textId="77777777" w:rsidTr="009371A9">
        <w:trPr>
          <w:trHeight w:val="280"/>
        </w:trPr>
        <w:tc>
          <w:tcPr>
            <w:tcW w:w="2250" w:type="dxa"/>
            <w:tcBorders>
              <w:top w:val="nil"/>
              <w:left w:val="nil"/>
              <w:bottom w:val="nil"/>
              <w:right w:val="nil"/>
            </w:tcBorders>
            <w:shd w:val="clear" w:color="auto" w:fill="auto"/>
            <w:noWrap/>
            <w:vAlign w:val="bottom"/>
            <w:hideMark/>
          </w:tcPr>
          <w:p w14:paraId="15E9174D" w14:textId="77777777" w:rsidR="009371A9" w:rsidRPr="009C2B6E" w:rsidRDefault="009371A9" w:rsidP="009371A9">
            <w:pPr>
              <w:spacing w:line="240" w:lineRule="auto"/>
              <w:ind w:firstLine="0"/>
              <w:jc w:val="left"/>
              <w:rPr>
                <w:color w:val="000000"/>
              </w:rPr>
            </w:pPr>
            <w:r w:rsidRPr="009C2B6E">
              <w:rPr>
                <w:color w:val="000000"/>
              </w:rPr>
              <w:t>qPCR</w:t>
            </w:r>
          </w:p>
        </w:tc>
        <w:tc>
          <w:tcPr>
            <w:tcW w:w="8470" w:type="dxa"/>
            <w:tcBorders>
              <w:top w:val="nil"/>
              <w:left w:val="nil"/>
              <w:bottom w:val="nil"/>
              <w:right w:val="nil"/>
            </w:tcBorders>
            <w:shd w:val="clear" w:color="auto" w:fill="auto"/>
            <w:noWrap/>
            <w:vAlign w:val="bottom"/>
            <w:hideMark/>
          </w:tcPr>
          <w:p w14:paraId="2A2FA0EB" w14:textId="1C6802D3" w:rsidR="009371A9" w:rsidRPr="009C2B6E" w:rsidRDefault="009371A9" w:rsidP="009371A9">
            <w:pPr>
              <w:spacing w:line="240" w:lineRule="auto"/>
              <w:ind w:firstLine="0"/>
              <w:jc w:val="left"/>
              <w:rPr>
                <w:color w:val="000000"/>
              </w:rPr>
            </w:pPr>
            <w:r w:rsidRPr="009C2B6E">
              <w:rPr>
                <w:color w:val="000000"/>
              </w:rPr>
              <w:t xml:space="preserve">Quantitative polymerase chain reaction </w:t>
            </w:r>
          </w:p>
        </w:tc>
      </w:tr>
      <w:tr w:rsidR="009371A9" w:rsidRPr="009C2B6E" w14:paraId="346528AB" w14:textId="77777777" w:rsidTr="009371A9">
        <w:trPr>
          <w:trHeight w:val="280"/>
        </w:trPr>
        <w:tc>
          <w:tcPr>
            <w:tcW w:w="2250" w:type="dxa"/>
            <w:tcBorders>
              <w:top w:val="nil"/>
              <w:left w:val="nil"/>
              <w:bottom w:val="nil"/>
              <w:right w:val="nil"/>
            </w:tcBorders>
            <w:shd w:val="clear" w:color="auto" w:fill="auto"/>
            <w:noWrap/>
            <w:vAlign w:val="bottom"/>
            <w:hideMark/>
          </w:tcPr>
          <w:p w14:paraId="42A1E3D0" w14:textId="77777777" w:rsidR="009371A9" w:rsidRPr="009C2B6E" w:rsidRDefault="009371A9" w:rsidP="009371A9">
            <w:pPr>
              <w:spacing w:line="240" w:lineRule="auto"/>
              <w:ind w:firstLine="0"/>
              <w:jc w:val="left"/>
              <w:rPr>
                <w:color w:val="000000"/>
              </w:rPr>
            </w:pPr>
            <w:r w:rsidRPr="009C2B6E">
              <w:rPr>
                <w:color w:val="000000"/>
              </w:rPr>
              <w:t>SDHA</w:t>
            </w:r>
          </w:p>
        </w:tc>
        <w:tc>
          <w:tcPr>
            <w:tcW w:w="8470" w:type="dxa"/>
            <w:tcBorders>
              <w:top w:val="nil"/>
              <w:left w:val="nil"/>
              <w:bottom w:val="nil"/>
              <w:right w:val="nil"/>
            </w:tcBorders>
            <w:shd w:val="clear" w:color="auto" w:fill="auto"/>
            <w:noWrap/>
            <w:vAlign w:val="bottom"/>
            <w:hideMark/>
          </w:tcPr>
          <w:p w14:paraId="57AD74C2" w14:textId="277791C0" w:rsidR="009371A9" w:rsidRPr="009C2B6E" w:rsidRDefault="009371A9" w:rsidP="009371A9">
            <w:pPr>
              <w:spacing w:line="240" w:lineRule="auto"/>
              <w:ind w:firstLine="0"/>
              <w:jc w:val="left"/>
              <w:rPr>
                <w:color w:val="000000"/>
              </w:rPr>
            </w:pPr>
            <w:r w:rsidRPr="009C2B6E">
              <w:rPr>
                <w:color w:val="000000"/>
              </w:rPr>
              <w:t>Succinate dehydrogenase subunit a</w:t>
            </w:r>
          </w:p>
        </w:tc>
      </w:tr>
      <w:tr w:rsidR="009371A9" w:rsidRPr="009C2B6E" w14:paraId="3F8AA715" w14:textId="77777777" w:rsidTr="009371A9">
        <w:trPr>
          <w:trHeight w:val="310"/>
        </w:trPr>
        <w:tc>
          <w:tcPr>
            <w:tcW w:w="2250" w:type="dxa"/>
            <w:tcBorders>
              <w:top w:val="nil"/>
              <w:left w:val="nil"/>
              <w:bottom w:val="nil"/>
              <w:right w:val="nil"/>
            </w:tcBorders>
            <w:shd w:val="clear" w:color="auto" w:fill="auto"/>
            <w:noWrap/>
            <w:vAlign w:val="bottom"/>
            <w:hideMark/>
          </w:tcPr>
          <w:p w14:paraId="27D5FB12" w14:textId="77777777" w:rsidR="009371A9" w:rsidRPr="009C2B6E" w:rsidRDefault="009371A9" w:rsidP="009371A9">
            <w:pPr>
              <w:spacing w:line="240" w:lineRule="auto"/>
              <w:ind w:firstLine="0"/>
              <w:jc w:val="left"/>
              <w:rPr>
                <w:color w:val="000000"/>
              </w:rPr>
            </w:pPr>
            <w:r w:rsidRPr="009C2B6E">
              <w:rPr>
                <w:color w:val="000000"/>
              </w:rPr>
              <w:t>Ct</w:t>
            </w:r>
          </w:p>
        </w:tc>
        <w:tc>
          <w:tcPr>
            <w:tcW w:w="8470" w:type="dxa"/>
            <w:tcBorders>
              <w:top w:val="nil"/>
              <w:left w:val="nil"/>
              <w:bottom w:val="nil"/>
              <w:right w:val="nil"/>
            </w:tcBorders>
            <w:shd w:val="clear" w:color="auto" w:fill="auto"/>
            <w:noWrap/>
            <w:vAlign w:val="bottom"/>
            <w:hideMark/>
          </w:tcPr>
          <w:p w14:paraId="570D97F0" w14:textId="17F2783B" w:rsidR="009371A9" w:rsidRPr="009C2B6E" w:rsidRDefault="009371A9" w:rsidP="009371A9">
            <w:pPr>
              <w:spacing w:line="240" w:lineRule="auto"/>
              <w:ind w:firstLine="0"/>
              <w:jc w:val="left"/>
              <w:rPr>
                <w:color w:val="000000"/>
              </w:rPr>
            </w:pPr>
            <w:r w:rsidRPr="009C2B6E">
              <w:rPr>
                <w:color w:val="000000"/>
              </w:rPr>
              <w:t>Cycle threshold</w:t>
            </w:r>
          </w:p>
        </w:tc>
      </w:tr>
      <w:tr w:rsidR="009371A9" w:rsidRPr="009C2B6E" w14:paraId="2E60625B" w14:textId="77777777" w:rsidTr="009371A9">
        <w:trPr>
          <w:trHeight w:val="280"/>
        </w:trPr>
        <w:tc>
          <w:tcPr>
            <w:tcW w:w="2250" w:type="dxa"/>
            <w:tcBorders>
              <w:top w:val="nil"/>
              <w:left w:val="nil"/>
              <w:bottom w:val="nil"/>
              <w:right w:val="nil"/>
            </w:tcBorders>
            <w:shd w:val="clear" w:color="auto" w:fill="auto"/>
            <w:noWrap/>
            <w:vAlign w:val="bottom"/>
            <w:hideMark/>
          </w:tcPr>
          <w:p w14:paraId="4538A2C0" w14:textId="77777777" w:rsidR="009371A9" w:rsidRPr="009C2B6E" w:rsidRDefault="009371A9" w:rsidP="009371A9">
            <w:pPr>
              <w:spacing w:line="240" w:lineRule="auto"/>
              <w:ind w:firstLine="0"/>
              <w:jc w:val="left"/>
              <w:rPr>
                <w:color w:val="000000"/>
              </w:rPr>
            </w:pPr>
            <w:r w:rsidRPr="009C2B6E">
              <w:rPr>
                <w:color w:val="000000"/>
              </w:rPr>
              <w:t>ANOVA</w:t>
            </w:r>
          </w:p>
        </w:tc>
        <w:tc>
          <w:tcPr>
            <w:tcW w:w="8470" w:type="dxa"/>
            <w:tcBorders>
              <w:top w:val="nil"/>
              <w:left w:val="nil"/>
              <w:bottom w:val="nil"/>
              <w:right w:val="nil"/>
            </w:tcBorders>
            <w:shd w:val="clear" w:color="auto" w:fill="auto"/>
            <w:noWrap/>
            <w:vAlign w:val="bottom"/>
            <w:hideMark/>
          </w:tcPr>
          <w:p w14:paraId="28C87C97" w14:textId="7CB93357" w:rsidR="009371A9" w:rsidRPr="009C2B6E" w:rsidRDefault="009371A9" w:rsidP="009371A9">
            <w:pPr>
              <w:spacing w:line="240" w:lineRule="auto"/>
              <w:ind w:firstLine="0"/>
              <w:jc w:val="left"/>
              <w:rPr>
                <w:color w:val="000000"/>
              </w:rPr>
            </w:pPr>
            <w:r w:rsidRPr="009C2B6E">
              <w:rPr>
                <w:color w:val="000000"/>
              </w:rPr>
              <w:t>Analysis of variance</w:t>
            </w:r>
          </w:p>
        </w:tc>
      </w:tr>
      <w:tr w:rsidR="009371A9" w:rsidRPr="009C2B6E" w14:paraId="446CFABC" w14:textId="77777777" w:rsidTr="009371A9">
        <w:trPr>
          <w:trHeight w:val="310"/>
        </w:trPr>
        <w:tc>
          <w:tcPr>
            <w:tcW w:w="2250" w:type="dxa"/>
            <w:tcBorders>
              <w:top w:val="nil"/>
              <w:left w:val="nil"/>
              <w:bottom w:val="nil"/>
              <w:right w:val="nil"/>
            </w:tcBorders>
            <w:shd w:val="clear" w:color="auto" w:fill="auto"/>
            <w:noWrap/>
            <w:vAlign w:val="bottom"/>
            <w:hideMark/>
          </w:tcPr>
          <w:p w14:paraId="42AA0B0F" w14:textId="77777777" w:rsidR="009371A9" w:rsidRPr="009C2B6E" w:rsidRDefault="009371A9" w:rsidP="009371A9">
            <w:pPr>
              <w:spacing w:line="240" w:lineRule="auto"/>
              <w:ind w:firstLine="0"/>
              <w:jc w:val="left"/>
              <w:rPr>
                <w:color w:val="000000"/>
              </w:rPr>
            </w:pPr>
            <w:r w:rsidRPr="009C2B6E">
              <w:rPr>
                <w:color w:val="000000"/>
              </w:rPr>
              <w:t>CI</w:t>
            </w:r>
          </w:p>
        </w:tc>
        <w:tc>
          <w:tcPr>
            <w:tcW w:w="8470" w:type="dxa"/>
            <w:tcBorders>
              <w:top w:val="nil"/>
              <w:left w:val="nil"/>
              <w:bottom w:val="nil"/>
              <w:right w:val="nil"/>
            </w:tcBorders>
            <w:shd w:val="clear" w:color="auto" w:fill="auto"/>
            <w:noWrap/>
            <w:vAlign w:val="bottom"/>
            <w:hideMark/>
          </w:tcPr>
          <w:p w14:paraId="10771BAA" w14:textId="77777777" w:rsidR="009371A9" w:rsidRPr="009C2B6E" w:rsidRDefault="009371A9" w:rsidP="009371A9">
            <w:pPr>
              <w:spacing w:line="240" w:lineRule="auto"/>
              <w:ind w:firstLine="0"/>
              <w:jc w:val="left"/>
              <w:rPr>
                <w:color w:val="000000"/>
              </w:rPr>
            </w:pPr>
            <w:r w:rsidRPr="009C2B6E">
              <w:rPr>
                <w:color w:val="000000"/>
              </w:rPr>
              <w:t xml:space="preserve">Confidence intervals </w:t>
            </w:r>
          </w:p>
        </w:tc>
      </w:tr>
      <w:tr w:rsidR="009371A9" w:rsidRPr="009C2B6E" w14:paraId="44DAC4B7" w14:textId="77777777" w:rsidTr="009371A9">
        <w:trPr>
          <w:trHeight w:val="280"/>
        </w:trPr>
        <w:tc>
          <w:tcPr>
            <w:tcW w:w="2250" w:type="dxa"/>
            <w:tcBorders>
              <w:top w:val="nil"/>
              <w:left w:val="nil"/>
              <w:bottom w:val="nil"/>
              <w:right w:val="nil"/>
            </w:tcBorders>
            <w:shd w:val="clear" w:color="auto" w:fill="auto"/>
            <w:noWrap/>
            <w:vAlign w:val="bottom"/>
            <w:hideMark/>
          </w:tcPr>
          <w:p w14:paraId="23DBDE0F" w14:textId="77777777" w:rsidR="009371A9" w:rsidRPr="009C2B6E" w:rsidRDefault="009371A9" w:rsidP="009371A9">
            <w:pPr>
              <w:spacing w:line="240" w:lineRule="auto"/>
              <w:ind w:firstLine="0"/>
              <w:jc w:val="left"/>
              <w:rPr>
                <w:color w:val="000000"/>
              </w:rPr>
            </w:pPr>
            <w:r w:rsidRPr="009C2B6E">
              <w:rPr>
                <w:color w:val="000000"/>
              </w:rPr>
              <w:t>TEER</w:t>
            </w:r>
          </w:p>
        </w:tc>
        <w:tc>
          <w:tcPr>
            <w:tcW w:w="8470" w:type="dxa"/>
            <w:tcBorders>
              <w:top w:val="nil"/>
              <w:left w:val="nil"/>
              <w:bottom w:val="nil"/>
              <w:right w:val="nil"/>
            </w:tcBorders>
            <w:shd w:val="clear" w:color="auto" w:fill="auto"/>
            <w:noWrap/>
            <w:vAlign w:val="bottom"/>
            <w:hideMark/>
          </w:tcPr>
          <w:p w14:paraId="44E29E2C" w14:textId="034126D2" w:rsidR="009371A9" w:rsidRPr="009C2B6E" w:rsidRDefault="009371A9" w:rsidP="009371A9">
            <w:pPr>
              <w:spacing w:line="240" w:lineRule="auto"/>
              <w:ind w:firstLine="0"/>
              <w:jc w:val="left"/>
              <w:rPr>
                <w:color w:val="000000"/>
              </w:rPr>
            </w:pPr>
            <w:r w:rsidRPr="009C2B6E">
              <w:rPr>
                <w:color w:val="000000"/>
              </w:rPr>
              <w:t xml:space="preserve">Trans-electrical epithelial resistance </w:t>
            </w:r>
          </w:p>
        </w:tc>
      </w:tr>
    </w:tbl>
    <w:p w14:paraId="09F9C4F9" w14:textId="77777777" w:rsidR="00634E5C" w:rsidRDefault="00634E5C" w:rsidP="00A30FA7">
      <w:pPr>
        <w:sectPr w:rsidR="00634E5C" w:rsidSect="00634E5C">
          <w:footerReference w:type="default" r:id="rId15"/>
          <w:pgSz w:w="12240" w:h="15840"/>
          <w:pgMar w:top="1440" w:right="1440" w:bottom="1440" w:left="1440" w:header="720" w:footer="720" w:gutter="0"/>
          <w:pgNumType w:fmt="lowerRoman"/>
          <w:cols w:space="720"/>
          <w:docGrid w:linePitch="360"/>
        </w:sectPr>
      </w:pPr>
    </w:p>
    <w:p w14:paraId="7A7AE490" w14:textId="25E628C1" w:rsidR="00FB402B" w:rsidRDefault="007F6251" w:rsidP="00CA2BC8">
      <w:pPr>
        <w:pStyle w:val="Heading1"/>
      </w:pPr>
      <w:bookmarkStart w:id="3" w:name="_Toc88218502"/>
      <w:bookmarkEnd w:id="2"/>
      <w:r>
        <w:t>Introduction</w:t>
      </w:r>
      <w:bookmarkEnd w:id="3"/>
      <w:r>
        <w:t xml:space="preserve"> </w:t>
      </w:r>
    </w:p>
    <w:p w14:paraId="577D07A3" w14:textId="096B2841" w:rsidR="00A30FA7" w:rsidRPr="00A30FA7" w:rsidRDefault="00A30FA7" w:rsidP="00A30FA7">
      <w:pPr>
        <w:ind w:left="1" w:firstLine="719"/>
      </w:pPr>
      <w:r>
        <w:t xml:space="preserve">Portions of this dissertation </w:t>
      </w:r>
      <w:r w:rsidR="00F42497">
        <w:t>have</w:t>
      </w:r>
      <w:r>
        <w:t xml:space="preserve"> been previously published. It is reprinted with permission from The Laryngoscope (Gartling, Sayce, Kimball, Sueyoshi, &amp; Rousseau, 2021) © </w:t>
      </w:r>
      <w:r w:rsidRPr="00A30FA7">
        <w:t>20</w:t>
      </w:r>
      <w:r>
        <w:t>21</w:t>
      </w:r>
      <w:r w:rsidR="00586350">
        <w:t>.</w:t>
      </w:r>
      <w:r w:rsidRPr="00A30FA7">
        <w:t xml:space="preserve"> Gartling GJ, Sayce L, Kimball EE, Sueyoshi S, Rousseau B. A Comparison of the Localization of Integral Membrane Proteins in Human and Rabbit Vocal Folds. </w:t>
      </w:r>
      <w:r w:rsidRPr="00A30FA7">
        <w:rPr>
          <w:i/>
          <w:iCs/>
        </w:rPr>
        <w:t>The Laryngoscope.</w:t>
      </w:r>
      <w:r w:rsidRPr="00A30FA7">
        <w:t xml:space="preserve"> 2021 Apr;131(4):E1265-71.</w:t>
      </w:r>
    </w:p>
    <w:p w14:paraId="5745790B" w14:textId="1123A6A7" w:rsidR="00B917F0" w:rsidRDefault="009B6472" w:rsidP="00A414CA">
      <w:pPr>
        <w:pStyle w:val="Heading2"/>
      </w:pPr>
      <w:bookmarkStart w:id="4" w:name="_Toc88218503"/>
      <w:r>
        <w:t xml:space="preserve">Etiology of </w:t>
      </w:r>
      <w:r w:rsidR="00A30FA7">
        <w:t>V</w:t>
      </w:r>
      <w:r>
        <w:t>oice Disorders</w:t>
      </w:r>
      <w:bookmarkEnd w:id="4"/>
      <w:r>
        <w:t xml:space="preserve"> </w:t>
      </w:r>
    </w:p>
    <w:p w14:paraId="6EE56673" w14:textId="5C0978D8" w:rsidR="00B2541D" w:rsidRPr="00B2541D" w:rsidRDefault="00B2541D" w:rsidP="00B2541D">
      <w:bookmarkStart w:id="5" w:name="_Toc106513529"/>
      <w:bookmarkStart w:id="6" w:name="_Toc106717787"/>
      <w:r w:rsidRPr="00B2541D">
        <w:tab/>
        <w:t>Voice disorders are the most common communication ailment across the lifespan; approximately 20</w:t>
      </w:r>
      <w:r w:rsidR="006D5F6D">
        <w:t xml:space="preserve"> </w:t>
      </w:r>
      <w:r w:rsidRPr="00B2541D">
        <w:t>million Americans are diagnosed with a voice disorder each year</w:t>
      </w:r>
      <w:r w:rsidRPr="00B2541D">
        <w:fldChar w:fldCharType="begin"/>
      </w:r>
      <w:r w:rsidRPr="00B2541D">
        <w:instrText xml:space="preserve"> ADDIN ZOTERO_ITEM CSL_CITATION {"citationID":"8flsyDMu","properties":{"formattedCitation":"\\super 1\\nosupersub{}","plainCitation":"1","noteIndex":0},"citationItems":[{"id":226,"uris":["http://zotero.org/users/6281125/items/T67IQBA3"],"uri":["http://zotero.org/users/6281125/items/T67IQBA3"],"itemData":{"id":226,"type":"article-journal","abstract":"OBJECTIVES: Epidemiologic studies of the prevalence and risk factors of voice disorders in the general adult population are rare. The purpose of this investigation was to 1) determine the prevalence of voice disorders, 2) identify variables associated with increased risk of voice disorders, and 3) establish the functional impact of voice disorders on the general population. STUDY DESIGN: Cross-sectional telephone survey. METHODS: A random sample (n = 1,326) of adults in Iowa and Utah was interviewed using a questionnaire that addressed three areas related to voice disorders: prevalence, potential risk factors, and occupational consequences/effects. RESULTS: The lifetime prevalence of a voice disorder was 29.9%, with 6.6% of participants reporting a current voice disorder. Stepwise logistic regression identified specific factors that uniquely contributed to increased odds of reporting a chronic voice disorder including sex (women), age (40-59 years), voice use patterns and demands, esophageal reflux, chemical exposures, and frequent cold/sinus infections. However, tobacco or alcohol use did not independently increase the odds of reporting of a chronic voice disorder. Voice disorders adversely impacted job performance and attendance, with 4.3% of participants indicating that their voice had limited or rendered them unable to do certain tasks in their current job. Furthermore, 7.2% of employed respondents reported that they were absent from work 1 or more days in the past year because of their voice, and 2% reported more than 4 days of voice-related absence. CONCLUSIONS: The results of this large epidemiologic study provide valuable information regarding the prevalence of voice disorders, factors that contribute to voice disorder vulnerability, and the functional impact of voice problems on the general population. © 2005 The American Laryngological, Rhinological and Otological Society, Inc.","container-title":"Laryngoscope","DOI":"10.1097/01.mlg.0000179174.32345.41","ISSN":"0023852X","issue":"11","page":"1988–1995","title":"Voice disorders in the general population: Prevalence, risk factors, and occupational impact","volume":"115","author":[{"family":"Roy","given":"Nelson"},{"family":"Merrill","given":"Ray M."},{"family":"Gray","given":"Steven D."},{"family":"Smith","given":"Elaine M."}],"issued":{"date-parts":[["2005"]]}}}],"schema":"https://github.com/citation-style-language/schema/raw/master/csl-citation.json"} </w:instrText>
      </w:r>
      <w:r w:rsidRPr="00B2541D">
        <w:fldChar w:fldCharType="separate"/>
      </w:r>
      <w:r w:rsidRPr="00B2541D">
        <w:rPr>
          <w:vertAlign w:val="superscript"/>
        </w:rPr>
        <w:t>1</w:t>
      </w:r>
      <w:r w:rsidRPr="00B2541D">
        <w:fldChar w:fldCharType="end"/>
      </w:r>
      <w:r w:rsidRPr="00B2541D">
        <w:t xml:space="preserve"> with total annual health care costs approaching $13 billion dollars.</w:t>
      </w:r>
      <w:r w:rsidRPr="00B2541D">
        <w:fldChar w:fldCharType="begin"/>
      </w:r>
      <w:r w:rsidRPr="00B2541D">
        <w:instrText xml:space="preserve"> ADDIN ZOTERO_ITEM CSL_CITATION {"citationID":"zGYl11yD","properties":{"formattedCitation":"\\super 2\\nosupersub{}","plainCitation":"2","noteIndex":0},"citationItems":[{"id":224,"uris":["http://zotero.org/users/6281125/items/PFNX86I3"],"uri":["http://zotero.org/users/6281125/items/PFNX86I3"],"itemData":{"id":224,"type":"article-journal","abstract":"Objectives/Hypothesis: To estimate the annual direct costs associated with the diagnosis and management of laryngeal disorders. Study Design: Retrospective analysis of data from a large, nationally representative, administrative US claims database. Methods: Patients with a laryngeal disorder based on International Classification of Diseases,Ninth Revision-Clinical Modification codes from January 1, 2004 to December 31, 2008 and who were continuously enrolled for 12 months were included. Data regarding age, gender, geographic location, and type of physician providing the diagnosis were collected. Medical encounter, medication, and procedure costs were determined. Total and mean costs per person for 12 months were determined. Results: Of almost 55 million individuals in the database, 309,300 patients with 12 months follow-up, mean age of 47.3 years (standard deviation: 21.3), and 63.5% female were identified. Acute and chronic laryngitis, nonspecific causes of dysphonia, and benign vocal fold lesions were the most common etiologies. The total annual direct costs ranged between $178,524,552 to $294,827,671, with mean costs per person between $577.18 and $953.21. Pharmacy claims accounted for 20.1% to 33.3%, procedure claims 50.4% to 69.9%, and medical encounter claims 16.3% to 8.6% of overall direct costs. Antireflux medication accounted for roughly 10% and antibiotics 6% of annual direct costs. Conclusions: This study establishes the economic impact of the assessment and management of patients with laryngeal disorders and permits cost comparisons with other diseases. 2012 Copyright © 2012 The American Laryngological, Rhinological, and Otological Society, Inc.","container-title":"Laryngoscope","DOI":"10.1002/lary.23189","ISSN":"0023852X","issue":"7","page":"1582–1588","title":"Direct health care costs of laryngeal diseases and disorders","volume":"122","author":[{"family":"Cohen","given":"Seth M."},{"family":"Kim","given":"Jaewhan"},{"family":"Roy","given":"Nelson"},{"family":"Asche","given":"Carl"},{"family":"Courey","given":"Mark"}],"issued":{"date-parts":[["2012"]]}}}],"schema":"https://github.com/citation-style-language/schema/raw/master/csl-citation.json"} </w:instrText>
      </w:r>
      <w:r w:rsidRPr="00B2541D">
        <w:fldChar w:fldCharType="separate"/>
      </w:r>
      <w:r w:rsidRPr="00B2541D">
        <w:rPr>
          <w:vertAlign w:val="superscript"/>
        </w:rPr>
        <w:t>2</w:t>
      </w:r>
      <w:r w:rsidRPr="00B2541D">
        <w:fldChar w:fldCharType="end"/>
      </w:r>
      <w:r w:rsidRPr="00B2541D">
        <w:t xml:space="preserve"> A voice disorder can be defined as an abnormality in a person’s voice production characterized by irregularities in pitch, loudness, resonance, and/or quality that negatively impact their ability to meet daily communication needs.</w:t>
      </w:r>
      <w:r w:rsidRPr="00B2541D">
        <w:fldChar w:fldCharType="begin"/>
      </w:r>
      <w:r w:rsidR="001F1CD0">
        <w:instrText xml:space="preserve"> ADDIN ZOTERO_ITEM CSL_CITATION {"citationID":"srEowih4","properties":{"formattedCitation":"\\super 1,3\\uc0\\u8211{}5\\nosupersub{}","plainCitation":"1,3–5","noteIndex":0},"citationItems":[{"id":226,"uris":["http://zotero.org/users/6281125/items/T67IQBA3"],"uri":["http://zotero.org/users/6281125/items/T67IQBA3"],"itemData":{"id":226,"type":"article-journal","abstract":"OBJECTIVES: Epidemiologic studies of the prevalence and risk factors of voice disorders in the general adult population are rare. The purpose of this investigation was to 1) determine the prevalence of voice disorders, 2) identify variables associated with increased risk of voice disorders, and 3) establish the functional impact of voice disorders on the general population. STUDY DESIGN: Cross-sectional telephone survey. METHODS: A random sample (n = 1,326) of adults in Iowa and Utah was interviewed using a questionnaire that addressed three areas related to voice disorders: prevalence, potential risk factors, and occupational consequences/effects. RESULTS: The lifetime prevalence of a voice disorder was 29.9%, with 6.6% of participants reporting a current voice disorder. Stepwise logistic regression identified specific factors that uniquely contributed to increased odds of reporting a chronic voice disorder including sex (women), age (40-59 years), voice use patterns and demands, esophageal reflux, chemical exposures, and frequent cold/sinus infections. However, tobacco or alcohol use did not independently increase the odds of reporting of a chronic voice disorder. Voice disorders adversely impacted job performance and attendance, with 4.3% of participants indicating that their voice had limited or rendered them unable to do certain tasks in their current job. Furthermore, 7.2% of employed respondents reported that they were absent from work 1 or more days in the past year because of their voice, and 2% reported more than 4 days of voice-related absence. CONCLUSIONS: The results of this large epidemiologic study provide valuable information regarding the prevalence of voice disorders, factors that contribute to voice disorder vulnerability, and the functional impact of voice problems on the general population. © 2005 The American Laryngological, Rhinological and Otological Society, Inc.","container-title":"Laryngoscope","DOI":"10.1097/01.mlg.0000179174.32345.41","ISSN":"0023852X","issue":"11","page":"1988–1995","title":"Voice disorders in the general population: Prevalence, risk factors, and occupational impact","volume":"115","author":[{"family":"Roy","given":"Nelson"},{"family":"Merrill","given":"Ray M."},{"family":"Gray","given":"Steven D."},{"family":"Smith","given":"Elaine M."}],"issued":{"date-parts":[["2005"]]}}},{"id":2108,"uris":["http://zotero.org/users/6281125/items/9LBKZRHG"],"uri":["http://zotero.org/users/6281125/items/9LBKZRHG"],"itemData":{"id":2108,"type":"article-journal","abstract":"The purpose of this paper is to provide a cohesive review of the literature regarding the functional consequences of voice problems and occupational risk factors for them. The salient points are as follows. According to conservative estimates, approximately 28000000 workers in the US experience daily voice problems. Many people who experience voice problems perceive them to have a negative impact on their work and their quality of life. Estimates based on empirical data suggest that, considering only lost work days and treatment expenses, the societal cost of voice problems in teachers alone may be of the order of about $2.5 billion annually in the US. In fact, across several countries, ”teacher” consistently emerges as the common occupation most likely to seek otorhinolaryngological (ORL) evaluation for a voice problem. Other occupational categories likely to seek ORL examination for a voice problem are singer, counselor/social worker, lawyer, and clergy. Finally, US Census data indicate that keyboard operators may be at special risk for voice problems because of a near-epidemic growth of repetitive strain injury (RSI), which can adversely affect the voice especially when speech recognition software is implemented. This paper discusses frequency data, quality of life data, and treatment considerations for these voice-related occupational issues.","container-title":"Logopedics Phoniatrics Vocology","DOI":"10.1080/14015430119969","ISSN":"1401-5439","issue":"1","note":"publisher: Taylor &amp; Francis\n_eprint: https://doi.org/10.1080/14015430119969\nPMID: 11432413","page":"37-46","source":"Taylor and Francis+NEJM","title":"Review: occupational risks for voice problems","title-short":"Review","volume":"26","author":[{"family":"Verdolini","given":"Katherine"},{"family":"Ramig","given":"Lorraine O."}],"issued":{"date-parts":[["2001",1,1]]}}},{"id":2110,"uris":["http://zotero.org/users/6281125/items/ISNWIYMU"],"uri":["http://zotero.org/users/6281125/items/ISNWIYMU"],"itemData":{"id":2110,"type":"article-journal","abstract":"Objectives:We undertook to explore the relationship between non-neoplastic voice disorders and patients' quality of life.Methods:A PubMed search (1966 to 2003) for the terms Voice Handicap Index (VHI), Short Form-36 (SF-36), voice disorders, voice quality, treatment outcome, voice outcome, quality of life, and questionnaires was performed. Raw data were obtained whenever possible. Studies were analyzed by meta-analysis techniques.Results:Of 54 VHI studies identified, 11 were excluded, and of 21 SF-36 studies, 7 were excluded for incomplete data, non-English language, measuring malignant disease, or duplicate publication. Patients with neurologic and inflammatory or traumatic laryngeal disease had worse VHI scores than controls, and those with neurologic laryngeal disease had the most severe impairment (p &lt;.001, Kruskal-Wallis analysis of variance; p &lt;.05, Dunn's method of multiple comparisons). Those with neurologic laryngeal disease had worse SF-36 subdomain scores than did controls in 6 of 8 subdomains (p &lt;.03, Kruskal-Wallis analysis of variance; p &lt;.05, Dunn's method of multiple comparisons). Both patients with neurologic disease and patients with inflammatory or traumatic laryngeal disorders had changes in SF-36 subdomains similar to those of patients with other chronic disease states.Conclusions:Non-neoplastic voice disorders adversely impact patients' voice-related and general quality of life, and neurologic voice disorders have the greatest impact.","container-title":"Annals of Otology, Rhinology &amp; Laryngology","DOI":"10.1177/000348940611500209","ISSN":"0003-4894","issue":"2","journalAbbreviation":"Ann Otol Rhinol Laryngol","note":"publisher: SAGE Publications Inc","page":"128-134","source":"SAGE Journals","title":"Quality-of-life impact of non-neoplastic voice disorders: a meta-analysis","title-short":"Quality-of-Life Impact of Non-Neoplastic Voice Disorders","volume":"115","author":[{"family":"Cohen","given":"Seth M."},{"family":"Dupont","given":"William D."},{"family":"Courey","given":"Mark S."}],"issued":{"date-parts":[["2006",2,1]]}}},{"id":2476,"uris":["http://zotero.org/users/6281125/items/MJKFYQGI"],"uri":["http://zotero.org/users/6281125/items/MJKFYQGI"],"itemData":{"id":2476,"type":"article-journal","container-title":"NY: Thieme","journalAbbreviation":"NY: Thieme","title":"Clinical voice disorders. New York","author":[{"family":"Aronson","given":"AE"},{"family":"Bless","given":"DM"}],"issued":{"date-parts":[["2009"]]}}}],"schema":"https://github.com/citation-style-language/schema/raw/master/csl-citation.json"} </w:instrText>
      </w:r>
      <w:r w:rsidRPr="00B2541D">
        <w:fldChar w:fldCharType="separate"/>
      </w:r>
      <w:r w:rsidRPr="00B2541D">
        <w:rPr>
          <w:vertAlign w:val="superscript"/>
        </w:rPr>
        <w:t>1,3–5</w:t>
      </w:r>
      <w:r w:rsidRPr="00B2541D">
        <w:fldChar w:fldCharType="end"/>
      </w:r>
      <w:r w:rsidRPr="00B2541D">
        <w:t xml:space="preserve"> Voice disorders can be generally classified as being organic or functional. Organic voice disorders can have structural origins, where there are physical changes to any of the mechanisms involved in voice production, or neurogenic origins, where the voice mechanism is altered from iatrogenic damage, idiopathic damage, or degeneration of the central or peripheral nervous system. Functional voice disorders are characterized by abnormal voice production in the absence of any organic origin. These classifications are not mutually exclusive and vary across etiological factors including occupation, age, and sex.</w:t>
      </w:r>
      <w:r w:rsidRPr="00B2541D">
        <w:fldChar w:fldCharType="begin"/>
      </w:r>
      <w:r w:rsidRPr="00B2541D">
        <w:instrText xml:space="preserve"> ADDIN ZOTERO_ITEM CSL_CITATION {"citationID":"XQw4cmt5","properties":{"formattedCitation":"\\super 6\\nosupersub{}","plainCitation":"6","noteIndex":0},"citationItems":[{"id":2475,"uris":["http://zotero.org/users/6281125/items/NPVZUVZ8"],"uri":["http://zotero.org/users/6281125/items/NPVZUVZ8"],"itemData":{"id":2475,"type":"book","ISBN":"0-13-444076-5","publisher":"Prentice Hall","title":"Human communication and its disorders","author":[{"family":"Boone","given":"Daniel R"},{"family":"Plante","given":"Elena"}],"issued":{"date-parts":[["1993"]]}}}],"schema":"https://github.com/citation-style-language/schema/raw/master/csl-citation.json"} </w:instrText>
      </w:r>
      <w:r w:rsidRPr="00B2541D">
        <w:fldChar w:fldCharType="separate"/>
      </w:r>
      <w:r w:rsidRPr="00B2541D">
        <w:rPr>
          <w:vertAlign w:val="superscript"/>
        </w:rPr>
        <w:t>6</w:t>
      </w:r>
      <w:r w:rsidRPr="00B2541D">
        <w:fldChar w:fldCharType="end"/>
      </w:r>
    </w:p>
    <w:p w14:paraId="71984C3A" w14:textId="76478553" w:rsidR="00B2541D" w:rsidRPr="00B2541D" w:rsidRDefault="00B2541D" w:rsidP="00B2541D">
      <w:r w:rsidRPr="00B2541D">
        <w:tab/>
        <w:t>Regarding the prevalence of voice disorders across occupations, studies often use cross-sectional methods without the use of controls, and combine occupations including telemarketers, tour guides, salespe</w:t>
      </w:r>
      <w:r w:rsidR="00741C9A">
        <w:t>ople</w:t>
      </w:r>
      <w:r w:rsidRPr="00B2541D">
        <w:t xml:space="preserve">, and professional singers into a single category of “professional voice users”, making differentiating the prevalence of voice disorders across the wide variety of specific occupations </w:t>
      </w:r>
      <w:r w:rsidR="00DC268A">
        <w:t>difficult</w:t>
      </w:r>
      <w:r w:rsidRPr="00B2541D">
        <w:t>. However, it is reported that teachers are considered the most at</w:t>
      </w:r>
      <w:r w:rsidR="00EC54F7">
        <w:t>-</w:t>
      </w:r>
      <w:r w:rsidRPr="00B2541D">
        <w:t>risk population for voice disorders, comprising approximately 5.2% to 20% of caseloads in voice clinics,</w:t>
      </w:r>
      <w:r w:rsidRPr="00B2541D">
        <w:fldChar w:fldCharType="begin"/>
      </w:r>
      <w:r w:rsidR="001F1CD0">
        <w:instrText xml:space="preserve"> ADDIN ZOTERO_ITEM CSL_CITATION {"citationID":"LYA4WukK","properties":{"formattedCitation":"\\super 7,8\\nosupersub{}","plainCitation":"7,8","noteIndex":0},"citationItems":[{"id":2491,"uris":["http://zotero.org/users/6281125/items/H3TCALT8"],"uri":["http://zotero.org/users/6281125/items/H3TCALT8"],"itemData":{"id":2491,"type":"article-journal","abstract":"To examine the frequency and adverse effects of voice disorders on job performance and attendance in teachers and the general population, 2,401 participants from Iowa and Utah (n1=1,243 teachers and n2=1,279 nonteachers) were randomly selected and were interviewed by telephone using a voice disorder questionnaire. Teachers were significantly more likely than nonteachers to have experienced multiple voice symptoms and signs including hoarseness, discomfort, and increased effort while using their voice, tiring or experiencing a change in voice quality after short use, difficulty projecting their voice, trouble speaking or singing softly, and a loss of their singing range (all odds ratios [ORs] p&lt;.05). Furthermore, teachers consistently attributed these voice symptoms to their occupation and were significantly more likely to indicate that their voice limited their ability to perform certain tasks at work, and had reduced activities or interactions as a result. Teachers, as compared with nonteachers, had missed more workdays over the preceding year because of voice problems and were more likely to consider changing occupations because of their voice (all comparisons p&lt;.05). These findings strongly suggest that occupationally related voice dysfunction in teachers can have significant adverse effects on job performance, attendance, and future career choices.","container-title":"Journal of speech, language, and hearing research : JSLHR","DOI":"10.1044/1092-4388(2004/023)","journalAbbreviation":"Journal of speech, language, and hearing research : JSLHR","page":"281-93","source":"ResearchGate","title":"Voice disorders in teachers and the general population","volume":"47","author":[{"family":"Roy","given":"Nelson"},{"family":"Merrill","given":"Ray"},{"family":"Thibeault","given":"Susan"},{"family":"Parsa","given":"Rahul"},{"family":"Gray","given":"Steven"},{"family":"Smith","given":"Elaine"}],"issued":{"date-parts":[["2004",5,1]]}}},{"id":2487,"uris":["http://zotero.org/users/6281125/items/EQUKZJD9"],"uri":["http://zotero.org/users/6281125/items/EQUKZJD9"],"itemData":{"id":2487,"type":"article-journal","container-title":"Journal of Voice","ISSN":"0892-1997","issue":"3","journalAbbreviation":"Journal of Voice","note":"publisher: Elsevier","page":"424-440","title":"Shifts in relative prevalence of laryngeal pathology in a treatment-seeking population","volume":"15","author":[{"family":"Coyle","given":"Suzanne M"},{"family":"Weinrich","given":"Barbara D"},{"family":"Stemple","given":"Joseph C"}],"issued":{"date-parts":[["2001"]]}}}],"schema":"https://github.com/citation-style-language/schema/raw/master/csl-citation.json"} </w:instrText>
      </w:r>
      <w:r w:rsidRPr="00B2541D">
        <w:fldChar w:fldCharType="separate"/>
      </w:r>
      <w:r w:rsidRPr="00B2541D">
        <w:rPr>
          <w:vertAlign w:val="superscript"/>
        </w:rPr>
        <w:t>7,8</w:t>
      </w:r>
      <w:r w:rsidRPr="00B2541D">
        <w:fldChar w:fldCharType="end"/>
      </w:r>
      <w:r w:rsidRPr="00B2541D">
        <w:t xml:space="preserve"> likely due to the increased vocal burden required for projecting voice in the classroom. </w:t>
      </w:r>
    </w:p>
    <w:p w14:paraId="7AB1300C" w14:textId="0DD020B9" w:rsidR="00B2541D" w:rsidRPr="00B2541D" w:rsidRDefault="00B2541D" w:rsidP="00B2541D">
      <w:r w:rsidRPr="00B2541D">
        <w:tab/>
        <w:t>The age group that is at the highest risk of having a voice</w:t>
      </w:r>
      <w:r w:rsidR="00BA38A8">
        <w:t>-</w:t>
      </w:r>
      <w:r w:rsidRPr="00B2541D">
        <w:t>related disability are people 40 to 59</w:t>
      </w:r>
      <w:r w:rsidR="00DD5B2C">
        <w:t>-years-old</w:t>
      </w:r>
      <w:r w:rsidRPr="00B2541D">
        <w:t>.</w:t>
      </w:r>
      <w:r w:rsidRPr="00B2541D">
        <w:fldChar w:fldCharType="begin"/>
      </w:r>
      <w:r w:rsidR="001F1CD0">
        <w:instrText xml:space="preserve"> ADDIN ZOTERO_ITEM CSL_CITATION {"citationID":"C7RYdlRy","properties":{"formattedCitation":"\\super 7,9\\nosupersub{}","plainCitation":"7,9","noteIndex":0},"citationItems":[{"id":2477,"uris":["http://zotero.org/users/6281125/items/PWHTRXP7"],"uri":["http://zotero.org/users/6281125/items/PWHTRXP7"],"itemData":{"id":2477,"type":"article-journal","container-title":"Journal of voice","ISSN":"0892-1997","issue":"6","journalAbbreviation":"Journal of voice","note":"publisher: Elsevier","page":"761-e1","title":"Voice disorders: etiology and diagnosis","volume":"30","author":[{"family":"Martins","given":"Regina Helena Garcia"},{"family":"Amaral","given":"Henrique Abrantes","non-dropping-particle":"do"},{"family":"Tavares","given":"Elaine Lara Mendes"},{"family":"Martins","given":"Maira Garcia"},{"family":"Gonçalves","given":"Tatiana Maria"},{"family":"Dias","given":"Norimar Hernandes"}],"issued":{"date-parts":[["2016"]]}}},{"id":2491,"uris":["http://zotero.org/users/6281125/items/H3TCALT8"],"uri":["http://zotero.org/users/6281125/items/H3TCALT8"],"itemData":{"id":2491,"type":"article-journal","abstract":"To examine the frequency and adverse effects of voice disorders on job performance and attendance in teachers and the general population, 2,401 participants from Iowa and Utah (n1=1,243 teachers and n2=1,279 nonteachers) were randomly selected and were interviewed by telephone using a voice disorder questionnaire. Teachers were significantly more likely than nonteachers to have experienced multiple voice symptoms and signs including hoarseness, discomfort, and increased effort while using their voice, tiring or experiencing a change in voice quality after short use, difficulty projecting their voice, trouble speaking or singing softly, and a loss of their singing range (all odds ratios [ORs] p&lt;.05). Furthermore, teachers consistently attributed these voice symptoms to their occupation and were significantly more likely to indicate that their voice limited their ability to perform certain tasks at work, and had reduced activities or interactions as a result. Teachers, as compared with nonteachers, had missed more workdays over the preceding year because of voice problems and were more likely to consider changing occupations because of their voice (all comparisons p&lt;.05). These findings strongly suggest that occupationally related voice dysfunction in teachers can have significant adverse effects on job performance, attendance, and future career choices.","container-title":"Journal of speech, language, and hearing research : JSLHR","DOI":"10.1044/1092-4388(2004/023)","journalAbbreviation":"Journal of speech, language, and hearing research : JSLHR","page":"281-93","source":"ResearchGate","title":"Voice disorders in teachers and the general population","volume":"47","author":[{"family":"Roy","given":"Nelson"},{"family":"Merrill","given":"Ray"},{"family":"Thibeault","given":"Susan"},{"family":"Parsa","given":"Rahul"},{"family":"Gray","given":"Steven"},{"family":"Smith","given":"Elaine"}],"issued":{"date-parts":[["2004",5,1]]}}}],"schema":"https://github.com/citation-style-language/schema/raw/master/csl-citation.json"} </w:instrText>
      </w:r>
      <w:r w:rsidRPr="00B2541D">
        <w:fldChar w:fldCharType="separate"/>
      </w:r>
      <w:r w:rsidRPr="00B2541D">
        <w:rPr>
          <w:vertAlign w:val="superscript"/>
        </w:rPr>
        <w:t>7,9</w:t>
      </w:r>
      <w:r w:rsidRPr="00B2541D">
        <w:fldChar w:fldCharType="end"/>
      </w:r>
      <w:r w:rsidRPr="00B2541D">
        <w:t xml:space="preserve"> However, children and adults are similarly affected by voice disorders with causes varying by age. In younger children between 1 and 18</w:t>
      </w:r>
      <w:r w:rsidR="00DD5B2C">
        <w:t>-</w:t>
      </w:r>
      <w:r w:rsidRPr="00B2541D">
        <w:t>years</w:t>
      </w:r>
      <w:r w:rsidR="00DD5B2C">
        <w:t>-</w:t>
      </w:r>
      <w:r w:rsidRPr="00B2541D">
        <w:t xml:space="preserve">old, the most common organic voice disorders are acute laryngotracheobronchitis, </w:t>
      </w:r>
      <w:r w:rsidR="00DC268A">
        <w:t>VF</w:t>
      </w:r>
      <w:r w:rsidRPr="00B2541D">
        <w:t xml:space="preserve"> nodules</w:t>
      </w:r>
      <w:r w:rsidR="00BA38A8">
        <w:t>,</w:t>
      </w:r>
      <w:r w:rsidRPr="00B2541D">
        <w:t xml:space="preserve"> and VF cysts.</w:t>
      </w:r>
      <w:r w:rsidRPr="00B2541D">
        <w:fldChar w:fldCharType="begin"/>
      </w:r>
      <w:r w:rsidRPr="00B2541D">
        <w:instrText xml:space="preserve"> ADDIN ZOTERO_ITEM CSL_CITATION {"citationID":"Z4IDAYfn","properties":{"formattedCitation":"\\super 9\\uc0\\u8211{}11\\nosupersub{}","plainCitation":"9–11","noteIndex":0},"citationItems":[{"id":2418,"uris":["http://zotero.org/users/6281125/items/5N5YGUZW"],"uri":["http://zotero.org/users/6281125/items/5N5YGUZW"],"itemData":{"id":2418,"type":"article-journal","abstract":"Objectives/Hypothesis: To determine the prevalence and common causes of dysphonia as diagnosed by primary care physicians (PCPs) and otolaryngologists and to evaluate differences in etiologies offered by these providers. Study Design: Retrospective analysis of data from a large, nationally representative administrative U.S. claims database. Methods: Patients were identified as dysphonic based on International Classification of Diseases, Ninth Revision, Clinical Modification codes from January 1, 2004, to December 31, 2008. Data regarding age, sex, geographic location, and type of physician providing the dysphonia diagnosis were collected. Overall and age-related prevalence rates, as well as frequency of specific etiologies by provider type, were calculated. Results: Of the almost 55 million individuals in the database, 536,943 patients (ages 0 to &gt;65 years) were given a dysphonia diagnosis (point prevalence rate of 0.98%). The prevalence rate was higher among females as compared to males (1.2% vs. 0.7%) and among those &gt;70 years of age (2.5%). The most frequent diagnoses overall were acute laryngitis, nonspecific dysphonia, benign vocal fold lesions, and chronic laryngitis. PCPs more commonly diagnosed acute laryngitis, whereas otolaryngologists more commonly diagnosed nonspecific dysphonia and laryngeal pathology. Gastroesophageal reflux was more commonly diagnosed as a comorbid condition by otolaryngologists than by PCPs. Overall laryngeal cancer prevalence in this treatment-seeking population was 2.2% and was greatest among males &gt;70 years of age. Conclusions: This analysis of insurance claims data from a nationally representative database represents the largest study of its kind. Important differences in dysphonia prevalence related to age, sex, diagnosis, and physician type were identified. Laryngoscope, 122:343–348, 2012","container-title":"The Laryngoscope","DOI":"10.1002/lary.22426","ISSN":"1531-4995","issue":"2","language":"en","note":"_eprint: https://onlinelibrary.wiley.com/doi/pdf/10.1002/lary.22426","page":"343-348","source":"Wiley Online Library","title":"Prevalence and causes of dysphonia in a large treatment-seeking population","volume":"122","author":[{"family":"Cohen","given":"Seth M."},{"family":"Kim","given":"Jaewhan"},{"family":"Roy","given":"Nelson"},{"family":"Asche","given":"Carl"},{"family":"Courey","given":"Mark"}],"issued":{"date-parts":[["2012"]]}}},{"id":2417,"uris":["http://zotero.org/users/6281125/items/NPFILEPA"],"uri":["http://zotero.org/users/6281125/items/NPFILEPA"],"itemData":{"id":2417,"type":"article-journal","abstract":"Common among children, vocal symptoms are a cause of concern for parents who seek elucidation of their diagnosis and treatment. Vocal nodules are the major cause of dysphonias in children and are related to vocal abuse. We conducted a literature review considering clinical, physiopathological, epidemiological, and histological aspects of vocal nodules, as well as diagnostic methods, highlighting the main studies addressing this issue. The controversial points of treatments were also discussed.","container-title":"European Journal of Pediatrics","DOI":"10.1007/s00431-013-2048-x","ISSN":"0340-6199, 1432-1076","issue":"9","journalAbbreviation":"Eur J Pediatr","language":"en","page":"1161-1165","source":"DOI.org (Crossref)","title":"Clinical Practice: Vocal nodules in dysphonic children","title-short":"Clinical Practice","volume":"172","author":[{"family":"Martins","given":"Regina Helena Garcia"},{"family":"Branco","given":"Anete"},{"family":"Tavares","given":"Elaine Lara Mendes"},{"family":"Gramuglia","given":"Andrea Cristina Jóia"}],"issued":{"date-parts":[["2013",9]]}}},{"id":2477,"uris":["http://zotero.org/users/6281125/items/PWHTRXP7"],"uri":["http://zotero.org/users/6281125/items/PWHTRXP7"],"itemData":{"id":2477,"type":"article-journal","container-title":"Journal of voice","ISSN":"0892-1997","issue":"6","journalAbbreviation":"Journal of voice","note":"publisher: Elsevier","page":"761-e1","title":"Voice disorders: etiology and diagnosis","volume":"30","author":[{"family":"Martins","given":"Regina Helena Garcia"},{"family":"Amaral","given":"Henrique Abrantes","non-dropping-particle":"do"},{"family":"Tavares","given":"Elaine Lara Mendes"},{"family":"Martins","given":"Maira Garcia"},{"family":"Gonçalves","given":"Tatiana Maria"},{"family":"Dias","given":"Norimar Hernandes"}],"issued":{"date-parts":[["2016"]]}}}],"schema":"https://github.com/citation-style-language/schema/raw/master/csl-citation.json"} </w:instrText>
      </w:r>
      <w:r w:rsidRPr="00B2541D">
        <w:fldChar w:fldCharType="separate"/>
      </w:r>
      <w:r w:rsidRPr="00B2541D">
        <w:rPr>
          <w:vertAlign w:val="superscript"/>
        </w:rPr>
        <w:t>9–11</w:t>
      </w:r>
      <w:r w:rsidRPr="00B2541D">
        <w:fldChar w:fldCharType="end"/>
      </w:r>
      <w:r w:rsidRPr="00B2541D">
        <w:t xml:space="preserve">  Vocal fold nodules are observed more frequently among males ages 4 to 10</w:t>
      </w:r>
      <w:r w:rsidR="00DD5B2C">
        <w:t>-years-old</w:t>
      </w:r>
      <w:r w:rsidRPr="00B2541D">
        <w:t>.</w:t>
      </w:r>
      <w:r w:rsidRPr="00B2541D">
        <w:fldChar w:fldCharType="begin"/>
      </w:r>
      <w:r w:rsidRPr="00B2541D">
        <w:instrText xml:space="preserve"> ADDIN ZOTERO_ITEM CSL_CITATION {"citationID":"ce8CatWq","properties":{"formattedCitation":"\\super 9\\uc0\\u8211{}11\\nosupersub{}","plainCitation":"9–11","noteIndex":0},"citationItems":[{"id":2477,"uris":["http://zotero.org/users/6281125/items/PWHTRXP7"],"uri":["http://zotero.org/users/6281125/items/PWHTRXP7"],"itemData":{"id":2477,"type":"article-journal","container-title":"Journal of voice","ISSN":"0892-1997","issue":"6","journalAbbreviation":"Journal of voice","note":"publisher: Elsevier","page":"761-e1","title":"Voice disorders: etiology and diagnosis","volume":"30","author":[{"family":"Martins","given":"Regina Helena Garcia"},{"family":"Amaral","given":"Henrique Abrantes","non-dropping-particle":"do"},{"family":"Tavares","given":"Elaine Lara Mendes"},{"family":"Martins","given":"Maira Garcia"},{"family":"Gonçalves","given":"Tatiana Maria"},{"family":"Dias","given":"Norimar Hernandes"}],"issued":{"date-parts":[["2016"]]}}},{"id":2418,"uris":["http://zotero.org/users/6281125/items/5N5YGUZW"],"uri":["http://zotero.org/users/6281125/items/5N5YGUZW"],"itemData":{"id":2418,"type":"article-journal","abstract":"Objectives/Hypothesis: To determine the prevalence and common causes of dysphonia as diagnosed by primary care physicians (PCPs) and otolaryngologists and to evaluate differences in etiologies offered by these providers. Study Design: Retrospective analysis of data from a large, nationally representative administrative U.S. claims database. Methods: Patients were identified as dysphonic based on International Classification of Diseases, Ninth Revision, Clinical Modification codes from January 1, 2004, to December 31, 2008. Data regarding age, sex, geographic location, and type of physician providing the dysphonia diagnosis were collected. Overall and age-related prevalence rates, as well as frequency of specific etiologies by provider type, were calculated. Results: Of the almost 55 million individuals in the database, 536,943 patients (ages 0 to &gt;65 years) were given a dysphonia diagnosis (point prevalence rate of 0.98%). The prevalence rate was higher among females as compared to males (1.2% vs. 0.7%) and among those &gt;70 years of age (2.5%). The most frequent diagnoses overall were acute laryngitis, nonspecific dysphonia, benign vocal fold lesions, and chronic laryngitis. PCPs more commonly diagnosed acute laryngitis, whereas otolaryngologists more commonly diagnosed nonspecific dysphonia and laryngeal pathology. Gastroesophageal reflux was more commonly diagnosed as a comorbid condition by otolaryngologists than by PCPs. Overall laryngeal cancer prevalence in this treatment-seeking population was 2.2% and was greatest among males &gt;70 years of age. Conclusions: This analysis of insurance claims data from a nationally representative database represents the largest study of its kind. Important differences in dysphonia prevalence related to age, sex, diagnosis, and physician type were identified. Laryngoscope, 122:343–348, 2012","container-title":"The Laryngoscope","DOI":"10.1002/lary.22426","ISSN":"1531-4995","issue":"2","language":"en","note":"_eprint: https://onlinelibrary.wiley.com/doi/pdf/10.1002/lary.22426","page":"343-348","source":"Wiley Online Library","title":"Prevalence and causes of dysphonia in a large treatment-seeking population","volume":"122","author":[{"family":"Cohen","given":"Seth M."},{"family":"Kim","given":"Jaewhan"},{"family":"Roy","given":"Nelson"},{"family":"Asche","given":"Carl"},{"family":"Courey","given":"Mark"}],"issued":{"date-parts":[["2012"]]}}},{"id":2417,"uris":["http://zotero.org/users/6281125/items/NPFILEPA"],"uri":["http://zotero.org/users/6281125/items/NPFILEPA"],"itemData":{"id":2417,"type":"article-journal","abstract":"Common among children, vocal symptoms are a cause of concern for parents who seek elucidation of their diagnosis and treatment. Vocal nodules are the major cause of dysphonias in children and are related to vocal abuse. We conducted a literature review considering clinical, physiopathological, epidemiological, and histological aspects of vocal nodules, as well as diagnostic methods, highlighting the main studies addressing this issue. The controversial points of treatments were also discussed.","container-title":"European Journal of Pediatrics","DOI":"10.1007/s00431-013-2048-x","ISSN":"0340-6199, 1432-1076","issue":"9","journalAbbreviation":"Eur J Pediatr","language":"en","page":"1161-1165","source":"DOI.org (Crossref)","title":"Clinical Practice: Vocal nodules in dysphonic children","title-short":"Clinical Practice","volume":"172","author":[{"family":"Martins","given":"Regina Helena Garcia"},{"family":"Branco","given":"Anete"},{"family":"Tavares","given":"Elaine Lara Mendes"},{"family":"Gramuglia","given":"Andrea Cristina Jóia"}],"issued":{"date-parts":[["2013",9]]}}}],"schema":"https://github.com/citation-style-language/schema/raw/master/csl-citation.json"} </w:instrText>
      </w:r>
      <w:r w:rsidRPr="00B2541D">
        <w:fldChar w:fldCharType="separate"/>
      </w:r>
      <w:r w:rsidRPr="00B2541D">
        <w:rPr>
          <w:vertAlign w:val="superscript"/>
        </w:rPr>
        <w:t>9–11</w:t>
      </w:r>
      <w:r w:rsidRPr="00B2541D">
        <w:fldChar w:fldCharType="end"/>
      </w:r>
      <w:r w:rsidRPr="00B2541D">
        <w:t xml:space="preserve"> However, between 12 to</w:t>
      </w:r>
      <w:r w:rsidR="00DD5B2C">
        <w:t xml:space="preserve"> </w:t>
      </w:r>
      <w:r w:rsidRPr="00B2541D">
        <w:t>60</w:t>
      </w:r>
      <w:r w:rsidR="00DD5B2C">
        <w:t>-years-old</w:t>
      </w:r>
      <w:r w:rsidRPr="00B2541D">
        <w:t>, VF nodules are seen more frequent</w:t>
      </w:r>
      <w:r w:rsidR="00BA38A8">
        <w:t>ly</w:t>
      </w:r>
      <w:r w:rsidRPr="00B2541D">
        <w:t xml:space="preserve"> in females.</w:t>
      </w:r>
      <w:r w:rsidRPr="00B2541D">
        <w:fldChar w:fldCharType="begin"/>
      </w:r>
      <w:r w:rsidRPr="00B2541D">
        <w:instrText xml:space="preserve"> ADDIN ZOTERO_ITEM CSL_CITATION {"citationID":"e8Q5LrQn","properties":{"formattedCitation":"\\super 9,12\\nosupersub{}","plainCitation":"9,12","noteIndex":0},"citationItems":[{"id":2477,"uris":["http://zotero.org/users/6281125/items/PWHTRXP7"],"uri":["http://zotero.org/users/6281125/items/PWHTRXP7"],"itemData":{"id":2477,"type":"article-journal","container-title":"Journal of voice","ISSN":"0892-1997","issue":"6","journalAbbreviation":"Journal of voice","note":"publisher: Elsevier","page":"761-e1","title":"Voice disorders: etiology and diagnosis","volume":"30","author":[{"family":"Martins","given":"Regina Helena Garcia"},{"family":"Amaral","given":"Henrique Abrantes","non-dropping-particle":"do"},{"family":"Tavares","given":"Elaine Lara Mendes"},{"family":"Martins","given":"Maira Garcia"},{"family":"Gonçalves","given":"Tatiana Maria"},{"family":"Dias","given":"Norimar Hernandes"}],"issued":{"date-parts":[["2016"]]}}},{"id":2488,"uris":["http://zotero.org/users/6281125/items/CC7ZIU8W"],"uri":["http://zotero.org/users/6281125/items/CC7ZIU8W"],"itemData":{"id":2488,"type":"article-journal","abstract":"Objectives/Hypothesis. This article describes the prevalence of laryngeal pathology in a treatment-seeking population with dysphonia in the Flemish part of Belgium. Study Design. Retrospective investigation. Methods. During a period of 5 years (2004–2008), data were collected from 882 patients who consulted with dysphonia at the ear, nose, and throat department of the University Hospital in Ghent (Belgium). Laryngeal pathology was diagnosed using videostroboscopy. Ages ranged from 4 years to 90 years. Results. Functional voice disorders were most frequently diagnosed (30%), followed by vocal fold nodule (15%), and pharyngolaryngeal reflux (9%). The role of age, gender, and occupation was investigated. Pathologies were significantly more common in females than in males, representing 63.8% and 36.2% of the population, respectively. Professional voice users accounted for 41% of the workforce population, with teachers as main subgroup. In professional voice users, functional dysphonia occurred in 41%, vocal fold nodules in 15%, and pharyngolaryngeal reflux in 11%. Our data were compared with data from other countries. Conclusions. Functional voice disorders were overall the most common cause of voice disorders (except in childhood), followed by vocal fold nodules and pharyngolaryngeal reflux. Professional voice users accounted for almost one half of the active population, with functional voice disorders as the main cause of dysphonia. Laryngoscope, 2010","container-title":"The Laryngoscope","DOI":"10.1002/lary.20696","ISSN":"1531-4995","issue":"2","language":"en","note":"_eprint: https://onlinelibrary.wiley.com/doi/pdf/10.1002/lary.20696","page":"306-312","source":"Wiley Online Library","title":"The prevalence of laryngeal pathology in a treatment-seeking population with dysphonia","volume":"120","author":[{"family":"Houtte","given":"Evelyne Van"},{"family":"Lierde","given":"Kristiane Van"},{"family":"D'Haeseleer","given":"Evelien"},{"family":"Claeys","given":"Sofie"}],"issued":{"date-parts":[["2010"]]}}}],"schema":"https://github.com/citation-style-language/schema/raw/master/csl-citation.json"} </w:instrText>
      </w:r>
      <w:r w:rsidRPr="00B2541D">
        <w:fldChar w:fldCharType="separate"/>
      </w:r>
      <w:r w:rsidRPr="00B2541D">
        <w:rPr>
          <w:vertAlign w:val="superscript"/>
        </w:rPr>
        <w:t>9,12</w:t>
      </w:r>
      <w:r w:rsidRPr="00B2541D">
        <w:fldChar w:fldCharType="end"/>
      </w:r>
      <w:r w:rsidRPr="00B2541D">
        <w:t xml:space="preserve"> This age and gender discrepancy is likely due to males experiencing substantial laryngeal growth and subsequent lesion regression into the VF tissue during adoles</w:t>
      </w:r>
      <w:r w:rsidR="00BA38A8">
        <w:t>ce</w:t>
      </w:r>
      <w:r w:rsidRPr="00B2541D">
        <w:t>nce,</w:t>
      </w:r>
      <w:r w:rsidRPr="00B2541D">
        <w:fldChar w:fldCharType="begin"/>
      </w:r>
      <w:r w:rsidR="001F1CD0">
        <w:instrText xml:space="preserve"> ADDIN ZOTERO_ITEM CSL_CITATION {"citationID":"TFaHwrtp","properties":{"formattedCitation":"\\super 13,14\\nosupersub{}","plainCitation":"13,14","noteIndex":0},"citationItems":[{"id":2423,"uris":["http://zotero.org/users/6281125/items/4YLG5ULR"],"uri":["http://zotero.org/users/6281125/items/4YLG5ULR"],"itemData":{"id":2423,"type":"article-journal","abstract":"Objective: To compare the ENT diagnosis with the pathology diagnosis one of 132 surgical specimens, from 119 patients with vocal nodules and polyps.\nMethod: Retrospective study. We investigated the paraffin blocks corresponding to the lesions of the operated patients. We made new histology cross-sections, totaling 396 new slides, divided into three groups: hematoxylin and eosin, Gomori trichrome and PAS. We analyzed the following histological parameters: epithelium, lamina propria, basement membrane, vascular changes. We compared the laryngological and pathological diagnoses, and we did the statistical analysis, checking the predominant histological aspects in each lesion.\nResults: There was an agreement between the clinical and pathological diagnoses in 123 (93.18%) of 132 lesions analyzed (42.42% nodules and 50.76% polyps). In the histological parameters we found: epithelial changes such as nodules hyperplasia (82.14%) and polyp atrophy (31.34%). Lamina propria: edema in polyps (71.43%), fibrosis in the nodules (57.14%). Basement membrane: thickened nodules (100%), thin/no change in polyps (100%). There was a predominance of vascular changes in the polyps.\nConclusion: We found a high correlation between the ENT diagnosis and the pathology report. Histopathologically, the nodules presented with predominantly epithelial changes, lamina propria and basement membrane fibrosis, while the polyps by changes strictly on the lamina propria and vascular aspects.","container-title":"Brazilian Journal of Otorhinolaryngology","DOI":"10.5935/1808-8694.20130078","ISSN":"18088694","issue":"4","journalAbbreviation":"Brazilian Journal of Otorhinolaryngology","language":"en","page":"434-440","source":"DOI.org (Crossref)","title":"Clinical diagnosis and histological analysis of vocal nodules and polyps","volume":"79","author":[{"family":"Nunes","given":"Raquel Buzelin"},{"family":"Behlau","given":"Mara"},{"family":"Nunes","given":"Mauricio Buzelin"},{"family":"Paulino","given":"Juliana Gomes"}],"issued":{"date-parts":[["2013",5]]}}},{"id":2422,"uris":["http://zotero.org/users/6281125/items/PTT8UYTA"],"uri":["http://zotero.org/users/6281125/items/PTT8UYTA"],"itemData":{"id":2422,"type":"article-journal","abstract":"OBJECTIVE To characterize the rate of change in the size of pediatric VFNs over time and to identify which factors affect increased rates of improvement. DESIGN, SETTING, AND PARTICIPANTS Retrospective review of 67 children evaluated in a voice clinic between 2002 and 2011 with a primary diagnosis of VFNs. EXPOSURE No treatment or behavioral modification only (n = 19) vs targeted voice therapy with or without the treatment of associated conditions (gastroesophageal reflux and allergic rhinitis) (n = 45) vs surgical intervention (n = 3). MAIN OUTCOMES AND MEASURES Change in VFN grade (graded according to a previously validated scale based on size) over time.\nRESULTS Sixty-seven patients with a median (range) age of 6.0 (3.8-20.6) years were analyzed. Median (range) follow-up was 25 (1-119) months. The rate of change in VFN grade over time was significantly associated with large baseline VFN size (P &lt; .001) and targeted voice therapy with or without the management of associated conditions or surgery (P = .01); the association with postpubescent age was not significant (P = .09). The rate of change in VFN grade was not significantly different at 1 and 3 years postbaseline (P = .33).\nCONCLUSIONS AND RELEVANCE Baseline VFN size, treatment, and patient age are important in predicting the rate of improvement in nodule size over time. Rate of change in VFN size is a gradual decrease that is steady over time. This information can be used to help guide treatment decisions and counsel families of children with VFNs regarding expectations for improvement. Additional study is needed to evaluate whether the same factors that influence nodule size similarly influence parental perception of voice and expert perceptual voice analysis.","container-title":"JAMA Otolaryngology–Head &amp; Neck Surgery","DOI":"10.1001/jamaoto.2013.6378","ISSN":"2168-6181","issue":"3","journalAbbreviation":"JAMA Otolaryngol Head Neck Surg","language":"en","page":"233","source":"DOI.org (Crossref)","title":"A retrospective review of the progression of pediatric vocal fold nodules","volume":"140","author":[{"family":"Nardone","given":"Heather C."},{"family":"Recko","given":"Thomas"},{"family":"Huang","given":"Lin"},{"family":"Nuss","given":"Roger C."}],"issued":{"date-parts":[["2014",3,1]]}}}],"schema":"https://github.com/citation-style-language/schema/raw/master/csl-citation.json"} </w:instrText>
      </w:r>
      <w:r w:rsidRPr="00B2541D">
        <w:fldChar w:fldCharType="separate"/>
      </w:r>
      <w:r w:rsidRPr="00B2541D">
        <w:rPr>
          <w:vertAlign w:val="superscript"/>
        </w:rPr>
        <w:t>13,14</w:t>
      </w:r>
      <w:r w:rsidRPr="00B2541D">
        <w:fldChar w:fldCharType="end"/>
      </w:r>
      <w:r w:rsidRPr="00B2541D">
        <w:t xml:space="preserve"> while the female VFs remain much smaller compared to males after puberty</w:t>
      </w:r>
      <w:r w:rsidR="00B745E4">
        <w:t>. Female</w:t>
      </w:r>
      <w:r w:rsidR="00EC54F7">
        <w:t xml:space="preserve"> VFs also contain </w:t>
      </w:r>
      <w:r w:rsidRPr="00B2541D">
        <w:t xml:space="preserve">different extracellular matrix </w:t>
      </w:r>
      <w:r w:rsidR="00E42ED0">
        <w:t xml:space="preserve">(ECM) </w:t>
      </w:r>
      <w:r w:rsidRPr="00B2541D">
        <w:t xml:space="preserve">components which increase </w:t>
      </w:r>
      <w:r w:rsidR="00BA38A8">
        <w:t xml:space="preserve">the </w:t>
      </w:r>
      <w:r w:rsidRPr="00B2541D">
        <w:t>likelihood of traumatic collisions during phonation (i.e. phonotrama).</w:t>
      </w:r>
      <w:r w:rsidRPr="00B2541D">
        <w:fldChar w:fldCharType="begin"/>
      </w:r>
      <w:r w:rsidR="00845728">
        <w:instrText xml:space="preserve"> ADDIN ZOTERO_ITEM CSL_CITATION {"citationID":"rq701naR","properties":{"formattedCitation":"\\super 15\\uc0\\u8211{}18\\nosupersub{}","plainCitation":"15–18","noteIndex":0},"citationItems":[{"id":2432,"uris":["http://zotero.org/users/6281125/items/7T8MLFTS"],"uri":["http://zotero.org/users/6281125/items/7T8MLFTS"],"itemData":{"id":2432,"type":"book","abstract":"This comprehensive book has become an internationally recognized standard reference on measurement of physiological and acoustical aspects of speech and voice. It is specifically written for those without a technical background and includes a wide assortment of observational and measurement techniques. It offers explanations of their theoretical and technical foundations, comparisons of instrumental techniques, and extensive graphics to inform the clinician's choice of appropriate measurement tools. Just as important, this book includes extensive summaries of test results, allowing a particular patient's performance to be assessed in a valid context.","edition":"2nd edition","event-place":"San Diego","ISBN":"978-1-56593-869-4","language":"English","number-of-pages":"864","publisher":"Cengage Learning","publisher-place":"San Diego","source":"Amazon","title":"Clinical Measurement of Speech &amp; Voice","author":[{"family":"Baken","given":"Ronald J."},{"family":"Orlikoff","given":"Robert F."}],"issued":{"date-parts":[["1999",12,22]]}}},{"id":2433,"uris":["http://zotero.org/users/6281125/items/CIU9D766"],"uri":["http://zotero.org/users/6281125/items/CIU9D766"],"itemData":{"id":2433,"type":"article-journal","abstract":"Objectives/Hypothesis The objective was to measure the level of hyaluronan during the first 15 days after vocal fold biopsy in a rabbit model. Study Design Experimental, nonrandomized prospective study. Methods Twenty-eight rabbits underwent unilateral vocal fold biopsy. The contralateral vocal fold was preserved as a control sample. On days 3, 5, 10, and 15 after biopsy, hyaluronan levels in the injured and normal vocal folds were measured immunohistologically and with an ELISA assay. Results Hyaluronan levels in the injured vocal fold were lowest on day 3 and highest on day 5 after injury. Statistical analysis revealed that the injured vocal fold demonstrated significantly lower levels of hyaluronan on day 3 than on days 5, 10, and 15. On day 5, the injured vocal fold demonstrated significantly greater levels of hyaluronan than those observed on days 3, 10, and 15. Compared with the normal vocal fold, the injured vocal fold demonstrated significantly lower levels of hyaluronan on days 3, 10, and 15. No differences were observed between the injured and normal vocal fold on day 5, when the hyaluronan level was maximized in the injured vocal fold. Conclusion Maximizing hyaluronan levels in the early stages of wound repair may have therapeutic potential for decreasing the incidence of vocal fold scar. Decreased hyaluronan levels may provide a less than optimal environment for normal tissue regeneration and may contribute to the formation of scar tissue in vocal fold lamina propria.","container-title":"The Laryngoscope","DOI":"10.1097/00005537-200404000-00031","ISSN":"1531-4995","issue":"4","language":"en","note":"_eprint: https://onlinelibrary.wiley.com/doi/pdf/10.1097/00005537-200404000-00031","page":"760-764","source":"Wiley Online Library","title":"Hyaluronan levels in acute vocal fold scar","volume":"114","author":[{"family":"Thibeault","given":"Susan L."},{"family":"Rousseau","given":"Bernard"},{"family":"Welham","given":"Nathan V."},{"family":"Hirano","given":"Shigeru"},{"family":"Bless","given":"Diane M."}],"issued":{"date-parts":[["2004"]]}}},{"id":2429,"uris":["http://zotero.org/users/6281125/items/4L333F2F"],"uri":["http://zotero.org/users/6281125/items/4L333F2F"],"itemData":{"id":2429,"type":"article-journal","abstract":"The extracellular matrix (ECM), once regarded simply as a structural scaffold, is now recognized as an important modulator of cellular behavior and function. One component that plays a prominent role in this process is hyaluronic acid (HA)—a molecule found in many different tissues. Research into the roles of HA indicates that it plays a key role in tissue viscosity, shock absorption, and space filling. Specifically, research into the role of HA in laryngology indicates that it has profound effects on the structure and viscosity of vocal folds. This article provides an introduction to the structure and biological functions of HA and its importance in voice. In addition, an overview of the pharmaceutical applications of HA is discussed.","container-title":"Journal of Voice","DOI":"10.1016/S0892-1997(02)00101-7","ISSN":"0892-1997","issue":"3","journalAbbreviation":"Journal of Voice","language":"en","page":"303-309","source":"ScienceDirect","title":"Hyaluronic acid: its role in voice","title-short":"Hyaluronic Acid","volume":"16","author":[{"family":"Ward","given":"P. Daniel"},{"family":"Thibeault","given":"Susan L"},{"family":"Gray","given":"Steven D"}],"issued":{"date-parts":[["2002",9,1]]}}},{"id":2439,"uris":["http://zotero.org/users/6281125/items/EIQP53V6"],"uri":["http://zotero.org/users/6281125/items/EIQP53V6"],"itemData":{"id":2439,"type":"article-journal","container-title":"The Journal of the Acoustical Society of America","DOI":"10.1121/1.1698832","ISSN":"0001-4966","issue":"5","journalAbbreviation":"The Journal of the Acoustical Society of America","language":"en","page":"2264-2269","source":"DOI.org (Crossref)","title":"Normal vibration frequencies of the vocal ligament","volume":"115","author":[{"family":"Titze","given":"Ingo R."},{"family":"Hunter","given":"Eric J."}],"issued":{"date-parts":[["2004",5]]}}}],"schema":"https://github.com/citation-style-language/schema/raw/master/csl-citation.json"} </w:instrText>
      </w:r>
      <w:r w:rsidRPr="00B2541D">
        <w:fldChar w:fldCharType="separate"/>
      </w:r>
      <w:r w:rsidRPr="00B2541D">
        <w:rPr>
          <w:vertAlign w:val="superscript"/>
        </w:rPr>
        <w:t>15–18</w:t>
      </w:r>
      <w:r w:rsidRPr="00B2541D">
        <w:fldChar w:fldCharType="end"/>
      </w:r>
    </w:p>
    <w:p w14:paraId="5DCC4DDE" w14:textId="51455E72" w:rsidR="00FF38EA" w:rsidRPr="00FF38EA" w:rsidRDefault="00B2541D" w:rsidP="00A30FA7">
      <w:r w:rsidRPr="00B2541D">
        <w:tab/>
        <w:t>In general, voice disorders affect more females than males, as evidenced by organic voice disorders such as VF polyps, VF nodules, Reinke’s edema, reflux laryngitis, VF paralysis, and presbyphonia disproportionately affecting females.</w:t>
      </w:r>
      <w:r w:rsidRPr="00B2541D">
        <w:fldChar w:fldCharType="begin"/>
      </w:r>
      <w:r w:rsidRPr="00B2541D">
        <w:instrText xml:space="preserve"> ADDIN ZOTERO_ITEM CSL_CITATION {"citationID":"98AMRYye","properties":{"formattedCitation":"\\super 9\\nosupersub{}","plainCitation":"9","noteIndex":0},"citationItems":[{"id":2477,"uris":["http://zotero.org/users/6281125/items/PWHTRXP7"],"uri":["http://zotero.org/users/6281125/items/PWHTRXP7"],"itemData":{"id":2477,"type":"article-journal","container-title":"Journal of voice","ISSN":"0892-1997","issue":"6","journalAbbreviation":"Journal of voice","note":"publisher: Elsevier","page":"761-e1","title":"Voice disorders: etiology and diagnosis","volume":"30","author":[{"family":"Martins","given":"Regina Helena Garcia"},{"family":"Amaral","given":"Henrique Abrantes","non-dropping-particle":"do"},{"family":"Tavares","given":"Elaine Lara Mendes"},{"family":"Martins","given":"Maira Garcia"},{"family":"Gonçalves","given":"Tatiana Maria"},{"family":"Dias","given":"Norimar Hernandes"}],"issued":{"date-parts":[["2016"]]}}}],"schema":"https://github.com/citation-style-language/schema/raw/master/csl-citation.json"} </w:instrText>
      </w:r>
      <w:r w:rsidRPr="00B2541D">
        <w:fldChar w:fldCharType="separate"/>
      </w:r>
      <w:r w:rsidRPr="00B2541D">
        <w:rPr>
          <w:vertAlign w:val="superscript"/>
        </w:rPr>
        <w:t>9</w:t>
      </w:r>
      <w:r w:rsidRPr="00B2541D">
        <w:fldChar w:fldCharType="end"/>
      </w:r>
      <w:r w:rsidRPr="00B2541D">
        <w:t xml:space="preserve"> Additionally, functional voice disorders are reported to be the leading cause of voice-related disability in females 19 to 60</w:t>
      </w:r>
      <w:r w:rsidR="00A83E0F">
        <w:t>-</w:t>
      </w:r>
      <w:r w:rsidRPr="00B2541D">
        <w:t>years</w:t>
      </w:r>
      <w:r w:rsidR="00A83E0F">
        <w:t>-</w:t>
      </w:r>
      <w:r w:rsidRPr="00B2541D">
        <w:t>old,</w:t>
      </w:r>
      <w:r w:rsidRPr="00B2541D">
        <w:fldChar w:fldCharType="begin"/>
      </w:r>
      <w:r w:rsidRPr="00B2541D">
        <w:instrText xml:space="preserve"> ADDIN ZOTERO_ITEM CSL_CITATION {"citationID":"qsSaAaUm","properties":{"formattedCitation":"\\super 9\\nosupersub{}","plainCitation":"9","noteIndex":0},"citationItems":[{"id":2477,"uris":["http://zotero.org/users/6281125/items/PWHTRXP7"],"uri":["http://zotero.org/users/6281125/items/PWHTRXP7"],"itemData":{"id":2477,"type":"article-journal","container-title":"Journal of voice","ISSN":"0892-1997","issue":"6","journalAbbreviation":"Journal of voice","note":"publisher: Elsevier","page":"761-e1","title":"Voice disorders: etiology and diagnosis","volume":"30","author":[{"family":"Martins","given":"Regina Helena Garcia"},{"family":"Amaral","given":"Henrique Abrantes","non-dropping-particle":"do"},{"family":"Tavares","given":"Elaine Lara Mendes"},{"family":"Martins","given":"Maira Garcia"},{"family":"Gonçalves","given":"Tatiana Maria"},{"family":"Dias","given":"Norimar Hernandes"}],"issued":{"date-parts":[["2016"]]}}}],"schema":"https://github.com/citation-style-language/schema/raw/master/csl-citation.json"} </w:instrText>
      </w:r>
      <w:r w:rsidRPr="00B2541D">
        <w:fldChar w:fldCharType="separate"/>
      </w:r>
      <w:r w:rsidRPr="00B2541D">
        <w:rPr>
          <w:vertAlign w:val="superscript"/>
        </w:rPr>
        <w:t>9</w:t>
      </w:r>
      <w:r w:rsidRPr="00B2541D">
        <w:fldChar w:fldCharType="end"/>
      </w:r>
      <w:r w:rsidRPr="00B2541D">
        <w:t xml:space="preserve"> believed to be partly associated with higher reported occurrence</w:t>
      </w:r>
      <w:r w:rsidR="001D2DD8">
        <w:t>s</w:t>
      </w:r>
      <w:r w:rsidRPr="00B2541D">
        <w:t xml:space="preserve"> of depression and anxiety in the general female population,</w:t>
      </w:r>
      <w:r w:rsidRPr="00B2541D">
        <w:fldChar w:fldCharType="begin"/>
      </w:r>
      <w:r w:rsidR="009D2186">
        <w:instrText xml:space="preserve"> ADDIN ZOTERO_ITEM CSL_CITATION {"citationID":"X7z1Xgs0","properties":{"formattedCitation":"\\super 19\\nosupersub{}","plainCitation":"19","noteIndex":0},"citationItems":[{"id":2136,"uris":["http://zotero.org/users/6281125/items/3RDK7ZMY"],"uri":["http://zotero.org/users/6281125/items/3RDK7ZMY"],"itemData":{"id":2136,"type":"article-journal","abstract":"The study’s objectives were to investigate (1) the frequency of perceived stress, anxiety, and depression for patients with common voice disorders, (2) the distribution of these variables by diagnosis, and (3) the distribution of the variables by gender. Retrospective data were derived from self-report questionnaires assessing recent stress (Perceived Stress Scale-10), anxiety, and depression (Hospital Anxiety and Depression Scale) in a cohort of new patients presenting to a voice clinic. Data are presented on 160 patients with muscle tension dysphonia (MTD), benign vocal fold lesions, paradoxical vocal fold movement disorder (PVFMD), or glottal insufﬁciency. Pooled data indicated that average stress, anxiety, and depression scores were similar to those found for the healthy population. However, 25.0%, 36.9%, and 31.2% of patients showed elevated stress, anxiety, and depression scores, respectively, compared to norms. Patients with PVFMD had the most frequent occurrence—and patients with glottal insufﬁciency had the least frequent occurrence of elevated stress, anxiety, and depression. Stress and depression were more common with MTD than with lesions, whereas reverse results were obtained for anxiety. More females than males had elevated stress, anxiety, and depression scores. The data are consistent with suggestions that stress, anxiety, and depression may be common among some patients with PVFMD, MTD, and vocal fold lesions and more common for women than men. However, individual variability in the data set was large. Further studies should evaluate the speciﬁc role of these conditions for selected categories of voice disorders in susceptible individuals.","container-title":"Journal of Voice","DOI":"10.1016/j.jvoice.2006.08.007","ISSN":"08921997","issue":"4","journalAbbreviation":"Journal of Voice","language":"en","page":"472-488","source":"DOI.org (Crossref)","title":"The frequency of perceived stress, anxiety, and depression in patients with common pathologies affecting voice","volume":"22","author":[{"family":"Dietrich","given":"Maria"},{"family":"Verdolini Abbott","given":"Katherine"},{"family":"Gartner-Schmidt","given":"Jackie"},{"family":"Rosen","given":"Clark A."}],"issued":{"date-parts":[["2008",7]]}}}],"schema":"https://github.com/citation-style-language/schema/raw/master/csl-citation.json"} </w:instrText>
      </w:r>
      <w:r w:rsidRPr="00B2541D">
        <w:fldChar w:fldCharType="separate"/>
      </w:r>
      <w:r w:rsidRPr="00B2541D">
        <w:rPr>
          <w:vertAlign w:val="superscript"/>
        </w:rPr>
        <w:t>19</w:t>
      </w:r>
      <w:r w:rsidRPr="00B2541D">
        <w:fldChar w:fldCharType="end"/>
      </w:r>
      <w:r w:rsidRPr="00B2541D">
        <w:t xml:space="preserve"> which can contribute to functional voice disorders such a muscle tension dysphonia.</w:t>
      </w:r>
      <w:r w:rsidRPr="00B2541D">
        <w:fldChar w:fldCharType="begin"/>
      </w:r>
      <w:r w:rsidR="00E940BB">
        <w:instrText xml:space="preserve"> ADDIN ZOTERO_ITEM CSL_CITATION {"citationID":"XpVeG4F4","properties":{"formattedCitation":"\\super 20,21\\nosupersub{}","plainCitation":"20,21","noteIndex":0},"citationItems":[{"id":2445,"uris":["http://zotero.org/users/6281125/items/RJUV3VSZ"],"uri":["http://zotero.org/users/6281125/items/RJUV3VSZ"],"itemData":{"id":2445,"type":"article-journal","abstract":"Non-organic voice disorders are characterised by an impaired voice sound, and/or reduced vocal capacity, and/or laryngeal sensory disturbances, all in the absence of causal organic laryngeal pathology. Psychogenic causes, a “psychological disequilibrium”, and an increased tension of the laryngeal muscles are presumed to be one end of the spectrum of possible factors leading to the development of the disorder.","container-title":"SWISS MED WKLY","language":"en","page":"11","source":"Zotero","title":"Stress and distress in non-organic voice disorder","author":[{"family":"Seifert","given":"Eberhard"},{"family":"Kollbrunner","given":"Juerg"}]}},{"id":2447,"uris":["http://zotero.org/users/6281125/items/P7V99T9M"],"uri":["http://zotero.org/users/6281125/items/P7V99T9M"],"itemData":{"id":2447,"type":"article-journal","abstract":"This study sought to use videostrobolaryngoscopy to clarify possible biomechanical causes of dysphonia in patients with laryngeal tension-fatigue syndrome, a chronic functional dysphonia due to vocal abuse and misuse. The videostrobolaryngoscopic records of 301 laryngeal tension-fatigue syndrome patients were reviewed. The focus of observation was the visual characteristics of the mucus layer, vessel dilatation or neovascularization on the surface of vocal folds, abnormal glottal closure, and bilateral vibratory asymmetry. Abnormal findings on the vocal folds, especially during vibration, were noted in 270 cases (89.7%). Most patients (222, 73.8%) had multiple abnormalities. The results of this study suggest that chronic vocal overuse under excessive laryngeal muscle tension can cause phonotrauma and result in biomechanical property changes in the vocal fold’s cover. These changes would hinder the regular vibration of the vocal folds, increase irregularities in voice signals, and worsen the symptoms of dysphonia.","container-title":"J Formos Med Assoc","issue":"12","language":"en","page":"4","source":"Zotero","title":"Vocal fold abnormalities in laryngeal tension-fatigue syndrome","volume":"100","author":[{"family":"Hsiao","given":"Tzu-Yu"},{"family":"Liu","given":"Chia-Ming"},{"family":"Hsu","given":"Chuan-Jen"},{"family":"Lee","given":"Shiann-Yann"},{"family":"Lin","given":"Kai-Nan"}],"issued":{"date-parts":[["2001"]]}}}],"schema":"https://github.com/citation-style-language/schema/raw/master/csl-citation.json"} </w:instrText>
      </w:r>
      <w:r w:rsidRPr="00B2541D">
        <w:fldChar w:fldCharType="separate"/>
      </w:r>
      <w:r w:rsidRPr="00B2541D">
        <w:rPr>
          <w:vertAlign w:val="superscript"/>
        </w:rPr>
        <w:t>20,21</w:t>
      </w:r>
      <w:r w:rsidRPr="00B2541D">
        <w:fldChar w:fldCharType="end"/>
      </w:r>
      <w:r w:rsidRPr="00B2541D">
        <w:t xml:space="preserve"> The higher incidence of voice disorders among the female population may also be due to the well</w:t>
      </w:r>
      <w:r w:rsidR="00BA38A8">
        <w:t>-</w:t>
      </w:r>
      <w:r w:rsidRPr="00B2541D">
        <w:t>documented findings that females are more likely to report a voice disorder,</w:t>
      </w:r>
      <w:r w:rsidRPr="00B2541D">
        <w:fldChar w:fldCharType="begin"/>
      </w:r>
      <w:r w:rsidRPr="00B2541D">
        <w:instrText xml:space="preserve"> ADDIN ZOTERO_ITEM CSL_CITATION {"citationID":"xQGmZgLH","properties":{"formattedCitation":"\\super 8\\nosupersub{}","plainCitation":"8","noteIndex":0},"citationItems":[{"id":2487,"uris":["http://zotero.org/users/6281125/items/EQUKZJD9"],"uri":["http://zotero.org/users/6281125/items/EQUKZJD9"],"itemData":{"id":2487,"type":"article-journal","container-title":"Journal of Voice","ISSN":"0892-1997","issue":"3","journalAbbreviation":"Journal of Voice","note":"publisher: Elsevier","page":"424-440","title":"Shifts in relative prevalence of laryngeal pathology in a treatment-seeking population","volume":"15","author":[{"family":"Coyle","given":"Suzanne M"},{"family":"Weinrich","given":"Barbara D"},{"family":"Stemple","given":"Joseph C"}],"issued":{"date-parts":[["2001"]]}}}],"schema":"https://github.com/citation-style-language/schema/raw/master/csl-citation.json"} </w:instrText>
      </w:r>
      <w:r w:rsidRPr="00B2541D">
        <w:fldChar w:fldCharType="separate"/>
      </w:r>
      <w:r w:rsidRPr="00B2541D">
        <w:rPr>
          <w:vertAlign w:val="superscript"/>
        </w:rPr>
        <w:t>8</w:t>
      </w:r>
      <w:r w:rsidRPr="00B2541D">
        <w:fldChar w:fldCharType="end"/>
      </w:r>
      <w:r w:rsidRPr="00B2541D">
        <w:t xml:space="preserve"> while males are less likely.</w:t>
      </w:r>
      <w:r w:rsidRPr="00B2541D">
        <w:fldChar w:fldCharType="begin"/>
      </w:r>
      <w:r w:rsidRPr="00B2541D">
        <w:instrText xml:space="preserve"> ADDIN ZOTERO_ITEM CSL_CITATION {"citationID":"9smQdAMq","properties":{"formattedCitation":"\\super 22\\nosupersub{}","plainCitation":"22","noteIndex":0},"citationItems":[{"id":2486,"uris":["http://zotero.org/users/6281125/items/FNBI5MM7"],"uri":["http://zotero.org/users/6281125/items/FNBI5MM7"],"itemData":{"id":2486,"type":"article-journal","container-title":"JAMA Otolaryngology–Head &amp; Neck Surgery","ISSN":"2168-6181","issue":"8","journalAbbreviation":"JAMA Otolaryngology–Head &amp; Neck Surgery","note":"publisher: American Medical Association","page":"719-726","title":"Sociodemographic characteristics and treatment response among aging adults with voice disorders in the United States","volume":"144","author":[{"family":"Bertelsen","given":"Caitlin"},{"family":"Zhou","given":"Sheng"},{"family":"Hapner","given":"Edie R"},{"family":"Johns","given":"Michael M"}],"issued":{"date-parts":[["2018"]]}}}],"schema":"https://github.com/citation-style-language/schema/raw/master/csl-citation.json"} </w:instrText>
      </w:r>
      <w:r w:rsidRPr="00B2541D">
        <w:fldChar w:fldCharType="separate"/>
      </w:r>
      <w:r w:rsidRPr="00B2541D">
        <w:rPr>
          <w:vertAlign w:val="superscript"/>
        </w:rPr>
        <w:t>22</w:t>
      </w:r>
      <w:r w:rsidRPr="00B2541D">
        <w:fldChar w:fldCharType="end"/>
      </w:r>
      <w:r w:rsidRPr="00B2541D">
        <w:t xml:space="preserve"> It is important to note the sparsity of evidence and underrepresentation of diverse participants in studies exploring the etiology of voice disorders, making findings regarding the prevalence of voice disorder in underrepresented groups of individuals challenging.</w:t>
      </w:r>
    </w:p>
    <w:p w14:paraId="01D41D1C" w14:textId="6808A0F0" w:rsidR="00B917F0" w:rsidRDefault="005671FE" w:rsidP="005671FE">
      <w:pPr>
        <w:pStyle w:val="Heading2"/>
      </w:pPr>
      <w:bookmarkStart w:id="7" w:name="_Toc88218504"/>
      <w:bookmarkEnd w:id="5"/>
      <w:bookmarkEnd w:id="6"/>
      <w:r>
        <w:t>Structure of the Vocal Folds</w:t>
      </w:r>
      <w:bookmarkEnd w:id="7"/>
    </w:p>
    <w:p w14:paraId="77D389E6" w14:textId="194CD2CF" w:rsidR="008724CB" w:rsidRDefault="00DC2C0B" w:rsidP="008724CB">
      <w:r w:rsidRPr="00D92186">
        <w:t>The VF</w:t>
      </w:r>
      <w:r>
        <w:t>s</w:t>
      </w:r>
      <w:r w:rsidRPr="00D92186">
        <w:t xml:space="preserve"> are bilateral membranous bands of tissue located within the larynx</w:t>
      </w:r>
      <w:r w:rsidR="004E6F6C">
        <w:t xml:space="preserve"> (Figure 1A)</w:t>
      </w:r>
      <w:r w:rsidRPr="00D92186">
        <w:t>. Each VF is composed of five layers; the outermost luminal layer is comprised of stratified squamous epithelial (SSE) cells</w:t>
      </w:r>
      <w:r w:rsidR="00FE0B32">
        <w:t xml:space="preserve"> anchored to a basement membrane zone (BMZ)</w:t>
      </w:r>
      <w:r w:rsidRPr="00D92186">
        <w:t xml:space="preserve">. Deeper into the tissue is the lamina propria (LP), which is segmented into three distinct sections: the superficial, intermediate, and deep layers, which gradually increase in elastin and collagen density and elastin flexibility toward the muscle. The final layer of the </w:t>
      </w:r>
      <w:r w:rsidR="001C743F">
        <w:t xml:space="preserve">VF </w:t>
      </w:r>
      <w:r w:rsidRPr="00D92186">
        <w:t xml:space="preserve">is the </w:t>
      </w:r>
      <w:r w:rsidR="006A48CA">
        <w:t>TA</w:t>
      </w:r>
      <w:r w:rsidRPr="00D92186">
        <w:t xml:space="preserve"> muscle</w:t>
      </w:r>
      <w:r w:rsidR="0093053E">
        <w:t xml:space="preserve"> (Figure 1</w:t>
      </w:r>
      <w:r w:rsidR="004E6F6C">
        <w:t>B</w:t>
      </w:r>
      <w:r w:rsidR="0093053E">
        <w:t>)</w:t>
      </w:r>
      <w:r w:rsidRPr="00D92186">
        <w:t xml:space="preserve">. </w:t>
      </w:r>
    </w:p>
    <w:p w14:paraId="0767947D" w14:textId="77777777" w:rsidR="003B3AD8" w:rsidRDefault="003B3AD8" w:rsidP="008724CB"/>
    <w:p w14:paraId="257EADFF" w14:textId="32FF2B55" w:rsidR="000547B4" w:rsidRDefault="008A31B9" w:rsidP="000547B4">
      <w:pPr>
        <w:keepNext/>
        <w:ind w:firstLine="0"/>
        <w:jc w:val="center"/>
      </w:pPr>
      <w:r>
        <w:rPr>
          <w:noProof/>
        </w:rPr>
        <w:drawing>
          <wp:inline distT="0" distB="0" distL="0" distR="0" wp14:anchorId="3E62A1DF" wp14:editId="1AC121ED">
            <wp:extent cx="5820969" cy="2674962"/>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35757" cy="2681758"/>
                    </a:xfrm>
                    <a:prstGeom prst="rect">
                      <a:avLst/>
                    </a:prstGeom>
                    <a:noFill/>
                    <a:ln>
                      <a:noFill/>
                    </a:ln>
                  </pic:spPr>
                </pic:pic>
              </a:graphicData>
            </a:graphic>
          </wp:inline>
        </w:drawing>
      </w:r>
    </w:p>
    <w:p w14:paraId="29090E7E" w14:textId="32F92C63" w:rsidR="00927AB9" w:rsidRDefault="000547B4" w:rsidP="000547B4">
      <w:pPr>
        <w:pStyle w:val="Caption"/>
      </w:pPr>
      <w:bookmarkStart w:id="8" w:name="_Toc88218594"/>
      <w:r>
        <w:t xml:space="preserve">Figure </w:t>
      </w:r>
      <w:r>
        <w:fldChar w:fldCharType="begin"/>
      </w:r>
      <w:r>
        <w:instrText xml:space="preserve"> SEQ Figure \* ARABIC </w:instrText>
      </w:r>
      <w:r>
        <w:fldChar w:fldCharType="separate"/>
      </w:r>
      <w:r w:rsidR="00CD04FC">
        <w:t>1</w:t>
      </w:r>
      <w:r>
        <w:fldChar w:fldCharType="end"/>
      </w:r>
      <w:r>
        <w:t xml:space="preserve">. </w:t>
      </w:r>
      <w:r w:rsidR="00D01DB7">
        <w:t>Coronal</w:t>
      </w:r>
      <w:r w:rsidR="00FA477F">
        <w:t>-</w:t>
      </w:r>
      <w:r w:rsidR="00826204">
        <w:t>s</w:t>
      </w:r>
      <w:r w:rsidR="00D01DB7">
        <w:t xml:space="preserve">ection of the </w:t>
      </w:r>
      <w:r w:rsidR="00826204">
        <w:t>l</w:t>
      </w:r>
      <w:r w:rsidR="00BA1E66">
        <w:t>arynx</w:t>
      </w:r>
      <w:r w:rsidR="009A289B">
        <w:t xml:space="preserve"> </w:t>
      </w:r>
      <w:r w:rsidR="00BA1E66">
        <w:t xml:space="preserve">and </w:t>
      </w:r>
      <w:r w:rsidR="00D01DB7">
        <w:t>VF</w:t>
      </w:r>
      <w:bookmarkEnd w:id="8"/>
    </w:p>
    <w:p w14:paraId="4EA5B7E9" w14:textId="7BE8C52F" w:rsidR="007C2C9B" w:rsidRDefault="003B39AB" w:rsidP="000C7532">
      <w:pPr>
        <w:pStyle w:val="Heading3"/>
        <w:jc w:val="center"/>
      </w:pPr>
      <w:bookmarkStart w:id="9" w:name="_Toc88218505"/>
      <w:r>
        <w:t>Stratified Squamous Epithelium</w:t>
      </w:r>
      <w:bookmarkEnd w:id="9"/>
    </w:p>
    <w:p w14:paraId="0E62CBC7" w14:textId="243D7BDB" w:rsidR="005E59B0" w:rsidRPr="003D20EF" w:rsidRDefault="005E59B0" w:rsidP="005E59B0">
      <w:r w:rsidRPr="003D20EF">
        <w:t>Efficient voice production primarily depends on the unique layered structure of the VFs allowing for this specialized tissue to withstand amazingly rapid vibration (i.e. phonation), and extreme stress and strain during phonation and other biological processes. Each VF consists of 5-10 tightly packed layers of SSE</w:t>
      </w:r>
      <w:r w:rsidRPr="003D20EF">
        <w:fldChar w:fldCharType="begin"/>
      </w:r>
      <w:r w:rsidR="00E940BB">
        <w:instrText xml:space="preserve"> ADDIN ZOTERO_ITEM CSL_CITATION {"citationID":"I4ZAQhmP","properties":{"formattedCitation":"\\super 23,24\\nosupersub{}","plainCitation":"23,24","noteIndex":0},"citationItems":[{"id":253,"uris":["http://zotero.org/users/6281125/items/NADRZCCM"],"uri":["http://zotero.org/users/6281125/items/NADRZCCM"],"itemData":{"id":253,"type":"article-journal","abstract":"The core biologic processes affecting vocal folds are cellular. Although it is rare for a voice professional to understand that vocal health or illness often depends on cellular well-being or dysfunction, the laryngologist must be aware of this relationship. Almost every voice illness can be related either to a tissue change or disorder or to suboptimal or inappropriate functional use of normal or abnormal tissue. A physician must decide whether the tissue is diseased, whether it is being used suboptimally, or both. If the tissue is diseased, treatment should attempt to restore cellular health. Although this article summarizes the information currently available regarding cellular activity, vocal health, and voice disorders, detailed knowledge of these issues is often lacking. The study of vocal health and vocal function has had a decidedly different history than that of many other organ systems. This difference arises in part from the large volume of research performed in this field by speech scientists, speech pathologists, and persons with engineering backgrounds. As these investigators have pioneered research in this field, they have used the tools with which they are most comfortable and experienced. Consequently, there exists a rich foundation in signal processing and acoustical analysis of voice and vocal problems. A substantial foundation is also being developed in other areas of science, such as computer modeling, and in integrated research, as found in the neuromotor field. Voice research at a biologic cellular or molecular level, however, has not been conducted with the same degree of interest. The author hopes that this article will help clinicians understand the biologic and tissue basis for vocal health and vocal pathology and stimulate research in this area. The vocal folds are composed of various tissue types: epithelium, lamina propria, striated muscle, nerves, vascular structures, and cartilage. Although each of these tissue types is important, this article focuses on the epithelium and lamina propria. Pathologic vocal conditions that are related to muscle dysfunction are integrated into the neuromuscular system and often have a neurologic basis for their disorder. Such diseases are beyond the scope of this article. On the other hand, most vocal lesions originate in the lamina propria. The lamina propria is certainly an active and vibrant structure which deserves attention.","container-title":"Otolaryngologic Clinics of North America","DOI":"10.1016/S0030-6665(05)70237-1","ISSN":"0030-6665","issue":"4","page":"679–697","title":"Cellular physiology of the vocal folds","volume":"33","author":[{"family":"Gray","given":"Steven D."}],"issued":{"date-parts":[["2000",8]]}}},{"id":1884,"uris":["http://zotero.org/users/6281125/items/73IE46PN"],"uri":["http://zotero.org/users/6281125/items/73IE46PN"],"itemData":{"id":1884,"type":"article-journal","container-title":"European Archives of Oto-Rhino-Laryngology","DOI":"10.1007/s00405-007-0246-8","ISSN":"0937-4477, 1434-4726","issue":"6","journalAbbreviation":"Eur Arch Otorhinolaryngol","language":"en","page":"645-649","source":"DOI.org (Crossref)","title":"Histologic assessment of epithelial thickness in early laryngeal cancer or precursor lesions and its impact on endoscopic imaging","volume":"264","author":[{"family":"Arens","given":"Christoph"},{"family":"Glanz","given":"Hiltrud"},{"family":"Wönckhaus","given":"Joachim"},{"family":"Hersemeyer","given":"Karin"},{"family":"Kraft","given":"Marcel"}],"issued":{"date-parts":[["2007",5,2]]}}}],"schema":"https://github.com/citation-style-language/schema/raw/master/csl-citation.json"} </w:instrText>
      </w:r>
      <w:r w:rsidRPr="003D20EF">
        <w:fldChar w:fldCharType="separate"/>
      </w:r>
      <w:r w:rsidRPr="005E59B0">
        <w:rPr>
          <w:vertAlign w:val="superscript"/>
        </w:rPr>
        <w:t>23,24</w:t>
      </w:r>
      <w:r w:rsidRPr="003D20EF">
        <w:fldChar w:fldCharType="end"/>
      </w:r>
      <w:r w:rsidRPr="003D20EF">
        <w:t xml:space="preserve"> </w:t>
      </w:r>
      <w:r w:rsidR="0072480F">
        <w:t xml:space="preserve">(Figure </w:t>
      </w:r>
      <w:r w:rsidR="00AD322C">
        <w:t xml:space="preserve">2A-C) </w:t>
      </w:r>
      <w:r w:rsidRPr="003D20EF">
        <w:t xml:space="preserve">which consist of integral protein complexes in the cell’s membrane which function to maintain cellular homeostasis and barrier integrity. Integral membrane proteins contributing </w:t>
      </w:r>
      <w:r w:rsidR="00BA38A8">
        <w:t xml:space="preserve">to </w:t>
      </w:r>
      <w:r w:rsidRPr="003D20EF">
        <w:t>the specialized function of the SSE are transepithelial ion channels and cell junctions.</w:t>
      </w:r>
    </w:p>
    <w:p w14:paraId="0528EB84" w14:textId="502EC230" w:rsidR="00DE1F3D" w:rsidRDefault="005E59B0" w:rsidP="00DE1F3D">
      <w:r w:rsidRPr="003D20EF">
        <w:t xml:space="preserve">Ion channels regulate the influx and efflux of positively and negatively charged molecules, serving multiple functions: regulating osmotic potential, providing energy for active transport, and driving cellular polarization and depolarization for cellular signaling. Sodium-potassium adenosine triphosphatase (Na+/K+-ATPase) is a transepithelial ion channel in the SSE believed to be involved in maintaining a thin layer of fluid on the VF epithelium, which contributes to efficient </w:t>
      </w:r>
      <w:r w:rsidR="001C743F">
        <w:t>VF</w:t>
      </w:r>
      <w:r w:rsidRPr="003D20EF">
        <w:t xml:space="preserve"> oscillation and voice production.</w:t>
      </w:r>
      <w:r w:rsidRPr="003D20EF">
        <w:fldChar w:fldCharType="begin"/>
      </w:r>
      <w:r>
        <w:instrText xml:space="preserve"> ADDIN ZOTERO_ITEM CSL_CITATION {"citationID":"TJBEMyrI","properties":{"formattedCitation":"\\super 25\\nosupersub{}","plainCitation":"25","noteIndex":0},"citationItems":[{"id":1873,"uris":["http://zotero.org/users/6281125/items/CL6P34EW"],"uri":["http://zotero.org/users/6281125/items/CL6P34EW"],"itemData":{"id":1873,"type":"article-journal","abstract":"Vocal fold surface liquid homeostasis contributes to optimal vocal physiology. In this paper we review emerging evidence that vocal fold surface liquid is maintained in part by salt and water fluxes across the epithelium. Based on recent immunolocalization and electrophysiological findings, we describe a transcellular pathway as one mechanism for regulating superficial vocal fold hydration. We propose that the pathway includes the sodium-potassium pump, sodium-potassium-chloride cotransporter, epithelial sodium channels, cystic fibrosis transmembrane regulator chloride channels, and aquaporin water channels. By integrating knowledge of the regulating mechanisms underlying ion and fluid transport with observations from hydration challenges and treatments using in vitro and in vivo studies, we provide a theoretical basis for understanding how environmental and behavioral challenges and clinical interventions may modify vocal fold surface liquid composition. We present converging evidence that clinical protocols directed at facilitating vocal fold epithelial ion and fluid transport may benefit healthy speakers, those with voice disorders, and those at risk for voice disorders.","container-title":"Journal of voice : official journal of the Voice Foundation","DOI":"10.1016/j.jvoice.2008.03.010","ISSN":"0892-1997","issue":"6","journalAbbreviation":"J Voice","note":"PMID: 19111440\nPMCID: PMC2810851","page":"658-665","source":"PubMed Central","title":"Vocal fold surface hydration: A review","title-short":"Vocal Fold Surface Hydration","volume":"23","author":[{"family":"Leydon","given":"Ciara"},{"family":"Sivasankar","given":"Mahalakshmi"},{"family":"Falciglia","given":"Danielle Lodewyck"},{"family":"Atkins","given":"Christopher"},{"family":"Fisher","given":"Kimberly V."}],"issued":{"date-parts":[["2009",11]]}}}],"schema":"https://github.com/citation-style-language/schema/raw/master/csl-citation.json"} </w:instrText>
      </w:r>
      <w:r w:rsidRPr="003D20EF">
        <w:fldChar w:fldCharType="separate"/>
      </w:r>
      <w:r w:rsidRPr="005E59B0">
        <w:rPr>
          <w:vertAlign w:val="superscript"/>
        </w:rPr>
        <w:t>25</w:t>
      </w:r>
      <w:r w:rsidRPr="003D20EF">
        <w:fldChar w:fldCharType="end"/>
      </w:r>
      <w:r w:rsidRPr="003D20EF">
        <w:t xml:space="preserve"> This protein functions by using active transport to simultaneously pump three positively charged sodium ions out of the cell and two positively charged potassium ions into the cell, creating an osmotic gradient</w:t>
      </w:r>
      <w:r w:rsidRPr="003D20EF">
        <w:fldChar w:fldCharType="begin" w:fldLock="1"/>
      </w:r>
      <w:r>
        <w:instrText xml:space="preserve"> ADDIN ZOTERO_ITEM CSL_CITATION {"citationID":"QXa0UwjP","properties":{"formattedCitation":"\\super 26\\nosupersub{}","plainCitation":"26","noteIndex":0},"citationItems":[{"id":339,"uris":["http://zotero.org/users/6281125/items/X975C4LK"],"uri":["http://zotero.org/users/6281125/items/X975C4LK"],"itemData":{"id":339,"type":"article-journal","container-title":"Biological Reports","issue":"4","page":"155-159","title":"The identification of the sodium pump","volume":"18","author":[{"family":"Skou","given":"Jens Chr"}],"issued":{"date-parts":[["1998"]]}}}],"schema":"https://github.com/citation-style-language/schema/raw/master/csl-citation.json"} </w:instrText>
      </w:r>
      <w:r w:rsidRPr="003D20EF">
        <w:fldChar w:fldCharType="separate"/>
      </w:r>
      <w:r w:rsidRPr="005E59B0">
        <w:rPr>
          <w:vertAlign w:val="superscript"/>
        </w:rPr>
        <w:t>26</w:t>
      </w:r>
      <w:r w:rsidRPr="003D20EF">
        <w:fldChar w:fldCharType="end"/>
      </w:r>
      <w:r w:rsidRPr="003D20EF">
        <w:t xml:space="preserve"> This osmotic gradient is believed to contribute to passive water transport between cells via aquaporin (AQP) water channels</w:t>
      </w:r>
      <w:r w:rsidR="00475269">
        <w:t xml:space="preserve"> </w:t>
      </w:r>
      <w:r w:rsidR="00A472D2">
        <w:t>(Figure2 D)</w:t>
      </w:r>
      <w:r w:rsidRPr="003D20EF">
        <w:t>.</w:t>
      </w:r>
      <w:r w:rsidRPr="003D20EF">
        <w:fldChar w:fldCharType="begin"/>
      </w:r>
      <w:r>
        <w:instrText xml:space="preserve"> ADDIN ZOTERO_ITEM CSL_CITATION {"citationID":"ouOHxado","properties":{"formattedCitation":"\\super 27\\nosupersub{}","plainCitation":"27","noteIndex":0},"citationItems":[{"id":2493,"uris":["http://zotero.org/users/6281125/items/CYRPQSEH"],"uri":["http://zotero.org/users/6281125/items/CYRPQSEH"],"itemData":{"id":2493,"type":"article-journal","container-title":"Proceedings of the National Academy of Sciences","ISSN":"0027-8424","issue":"4","journalAbbreviation":"Proceedings of the National Academy of Sciences","note":"publisher: National Acad Sciences","page":"1013-1017","title":"Vasopressin increases water permeability of kidney collecting duct by inducing translocation of aquaporin-CD water channels to plasma membrane","volume":"92","author":[{"family":"Nielsen","given":"Søren"},{"family":"Chou","given":"Chung-Lin"},{"family":"Marples","given":"David"},{"family":"Christensen","given":"Erik I"},{"family":"Kishore","given":"Bellamkonda K"},{"family":"Knepper","given":"Mark A"}],"issued":{"date-parts":[["1995"]]}}}],"schema":"https://github.com/citation-style-language/schema/raw/master/csl-citation.json"} </w:instrText>
      </w:r>
      <w:r w:rsidRPr="003D20EF">
        <w:fldChar w:fldCharType="separate"/>
      </w:r>
      <w:r w:rsidRPr="005E59B0">
        <w:rPr>
          <w:vertAlign w:val="superscript"/>
        </w:rPr>
        <w:t>27</w:t>
      </w:r>
      <w:r w:rsidRPr="003D20EF">
        <w:fldChar w:fldCharType="end"/>
      </w:r>
      <w:r w:rsidRPr="003D20EF">
        <w:t xml:space="preserve"> </w:t>
      </w:r>
    </w:p>
    <w:p w14:paraId="2A8C70DE" w14:textId="5B0352C9" w:rsidR="00426919" w:rsidRDefault="00DE1F3D" w:rsidP="00426919">
      <w:r w:rsidRPr="00977349">
        <w:t xml:space="preserve">Cellular junctions connect adjacent SSE cells and anchor the epithelial layer to the </w:t>
      </w:r>
      <w:r w:rsidR="00475269">
        <w:t>BMZ</w:t>
      </w:r>
      <w:r w:rsidRPr="00977349">
        <w:t xml:space="preserve"> and underlying connective tissue, providing the first line of defense to the VFs. Two main types of cell junctions found in the VF SSE are tight junction</w:t>
      </w:r>
      <w:r w:rsidR="00B7473D">
        <w:t>s</w:t>
      </w:r>
      <w:r w:rsidRPr="00977349">
        <w:t xml:space="preserve"> (TJ)</w:t>
      </w:r>
      <w:r w:rsidR="00B7473D">
        <w:t>s</w:t>
      </w:r>
      <w:r w:rsidRPr="00977349">
        <w:t>, and anchoring junction</w:t>
      </w:r>
      <w:r w:rsidR="00AE53EC">
        <w:t>s</w:t>
      </w:r>
      <w:r w:rsidRPr="00977349">
        <w:t xml:space="preserve"> (AJ)s. Tight junctions function by connecting and sealing the apical borders of adjacent SSE together, preventing any outside pathogens from entering the paracellular space.</w:t>
      </w:r>
      <w:r w:rsidRPr="00977349">
        <w:rPr>
          <w:color w:val="000000" w:themeColor="text1"/>
          <w:highlight w:val="yellow"/>
        </w:rPr>
        <w:fldChar w:fldCharType="begin"/>
      </w:r>
      <w:r w:rsidR="006E526E">
        <w:rPr>
          <w:color w:val="000000" w:themeColor="text1"/>
          <w:highlight w:val="yellow"/>
        </w:rPr>
        <w:instrText xml:space="preserve"> ADDIN ZOTERO_ITEM CSL_CITATION {"citationID":"Uh4VvYUB","properties":{"formattedCitation":"\\super 28,29\\nosupersub{}","plainCitation":"28,29","noteIndex":0},"citationItems":[{"id":1965,"uris":["http://zotero.org/users/6281125/items/W85SLEAS"],"uri":["http://zotero.org/users/6281125/items/W85SLEAS"],"itemData":{"id":1965,"type":"article-journal","container-title":"Vascular Pharmacology","issue":"6","language":"en","page":"323-337","source":"Zotero","title":"Tight junctions of the blood–brain barrier: Development, composition and regulation","volume":"38","author":[{"family":"Wolburg","given":"Hartwig"},{"family":"Lippoldt","given":"Andrea"}],"issued":{"date-parts":[["2002"]]}}},{"id":2030,"uris":["http://zotero.org/users/6281125/items/QJ6ILWFQ"],"uri":["http://zotero.org/users/6281125/items/QJ6ILWFQ"],"itemData":{"id":2030,"type":"article-journal","abstract":"Belt-like tight junctions (TJs), referred to as zonula occludens, have long been regarded as a specialized differentiation of epithelial cell membranes. They are required for cell adhesion and paracellular barrier functions, and are now thought to be partly involved in fence functions and in cell polarization. Recently, the molecular bases of TJs have gradually been unveiled. TJs are constructed by TJ strands, whose basic frameworks are composed of integral membrane proteins with four transmembrane domains, designated claudins. The claudin family is supposedly composed of at least 24 members in mice and humans. Other types of integral membrane proteins with four transmembrane domains, namely occludin and tricellulin, as well as the single transmembrane proteins, JAMs (junctional adhesion molecules) and CAR (coxsackie and adenovirus receptor), are associated with TJ strands, and the high-level organization of TJ strands is likely to be established by membrane-anchored scaffolding proteins, such as ZO-1/2. Recent functional analyses of claudins in cell cultures and in mice have suggested that claudin-based TJs may have pivotal functions in the regulation of the epithelial microenvironment, which is critical for various biological functions such as control of cell proliferation. These represent the dawn of ‘Barriology’ (defined by Shoichiro Tsukita as the science of barriers in multicellular organisms). Taken together with recent reports regarding changes in claudin expression levels, understanding the regulation of the TJ-based microenvironment system will provide new insights into the regulation of polarization in the respect of epithelial microenvironment system and new viewpoints for developing anticancer strategies.","container-title":"Oncogene","DOI":"10.1038/onc.2008.344","ISSN":"1476-5594","issue":"55","language":"en","note":"number: 55\npublisher: Nature Publishing Group","page":"6930-6938","source":"www.nature.com","title":"Tight junction-based epithelial microenvironment and cell proliferation","volume":"27","author":[{"family":"Tsukita","given":"S."},{"family":"Yamazaki","given":"Y."},{"family":"Katsuno","given":"T."},{"family":"Tamura","given":"A."},{"family":"Tsukita","given":"S."}],"issued":{"date-parts":[["2008",11]]}}}],"schema":"https://github.com/citation-style-language/schema/raw/master/csl-citation.json"} </w:instrText>
      </w:r>
      <w:r w:rsidRPr="00977349">
        <w:rPr>
          <w:color w:val="000000" w:themeColor="text1"/>
          <w:highlight w:val="yellow"/>
        </w:rPr>
        <w:fldChar w:fldCharType="separate"/>
      </w:r>
      <w:r w:rsidR="00BB4EAD" w:rsidRPr="00BB4EAD">
        <w:rPr>
          <w:vertAlign w:val="superscript"/>
        </w:rPr>
        <w:t>28,29</w:t>
      </w:r>
      <w:r w:rsidRPr="00977349">
        <w:rPr>
          <w:color w:val="000000" w:themeColor="text1"/>
          <w:highlight w:val="yellow"/>
        </w:rPr>
        <w:fldChar w:fldCharType="end"/>
      </w:r>
      <w:r w:rsidRPr="00977349">
        <w:t xml:space="preserve"> Examples of TJs in the </w:t>
      </w:r>
      <w:r w:rsidR="00AE53EC">
        <w:t>VF</w:t>
      </w:r>
      <w:r w:rsidRPr="00977349">
        <w:t xml:space="preserve"> include </w:t>
      </w:r>
      <w:r w:rsidR="0065546D">
        <w:t>z</w:t>
      </w:r>
      <w:r w:rsidRPr="00977349">
        <w:t xml:space="preserve">onula occludin (ZO)-1 and </w:t>
      </w:r>
      <w:r w:rsidR="0065546D">
        <w:t>o</w:t>
      </w:r>
      <w:r w:rsidRPr="00977349">
        <w:t>ccludin.</w:t>
      </w:r>
      <w:r w:rsidRPr="00977349">
        <w:fldChar w:fldCharType="begin"/>
      </w:r>
      <w:r w:rsidR="00E940BB">
        <w:instrText xml:space="preserve"> ADDIN ZOTERO_ITEM CSL_CITATION {"citationID":"NMM6qnNL","properties":{"formattedCitation":"\\super 30\\uc0\\u8211{}33\\nosupersub{}","plainCitation":"30–33","noteIndex":0},"citationItems":[{"id":2037,"uris":["http://zotero.org/users/6281125/items/7NNXZSC9"],"uri":["http://zotero.org/users/6281125/items/7NNXZSC9"],"itemData":{"id":2037,"type":"article-journal","abstract":"Objective\nDehydration challenges can increase the chemical composition of surface fluid overlying vocal fold epithelia (hypertonic surface fluid). The vocal fold epithelium is posited to act as a barrier, shielding the lamina propria from perturbations in the airway lumen. However, the effects of hypertonic surface fluid on the barrier functions of vocal fold epithelia have not been quantified. We, therefore, sought to investigate whether hypertonic surface fluid compromises epithelial barrier function. We examined the effects of hypertonic surface fluid on vocal fold epithelial resistance, paracellular pathway morphology, and tight junction protein integrity.\n\nStudy Design\nEx vivo, between group design.\n\nSetting\nLaboratory.\n\nMethods\nPorcine vocal folds (n = 24) were exposed to hypertonic or isotonic challenge and examined by electrophysiology, transmission electron microscopy, and Western blot analyses.\n\nResults\nHypertonic, but not isotonic, challenge significantly reduced transepithelial resistance. This decrease in resistance was observed immediately after the challenge and was consistent with the appearance of dilated paracellular pathway morphology. However, hypertonic challenge did not alter protein levels of occludin, zona occludens-1, E-cadherin, or β-catenin.\n\nConclusion\nHypertonic surface fluid alters epithelial barrier function in the vocal folds. Specifically, exposure to hypertonic challenges increases epithelial permeability. Given the important role of the vocal fold epithelium in shielding the underlying mucosa from inhaled pathogens and pollutants, our data provide the impetus for future studies on pharmacological treatments aimed at restoring the hydration level and chemical composition of vocal fold surface fluid.","container-title":"Otolaryngology--head and neck surgery : official journal of American Academy of Otolaryngology-Head and Neck Surgery","DOI":"10.1016/j.otohns.2009.09.011","ISSN":"0194-5998","issue":"1","journalAbbreviation":"Otolaryngol Head Neck Surg","note":"PMID: 20096227\nPMCID: PMC2928222","page":"79-84","source":"PubMed Central","title":"Hypertonic challenge to porcine vocal folds: Effects on epithelial barrier function","title-short":"Hypertonic challenge to porcine vocal folds","volume":"142","author":[{"family":"Sivasankar","given":"Mahalakshmi"},{"family":"Erickson","given":"Elizabeth"},{"family":"Rosenblatt","given":"Mark"},{"family":"Branski","given":"Ryan C."}],"issued":{"date-parts":[["2010",1]]}}},{"id":53,"uris":["http://zotero.org/users/6281125/items/6RCBNRHY"],"uri":["http://zotero.org/users/6281125/items/6RCBNRHY"],"itemData":{"id":53,"type":"article-journal","abstract":"Objectives/Hypothesis: We investigated the hypothesis that 30 minutes of raised intensity phonation alters transcript levels of vocal fold intercellular tight junction proteins and disrupts the vocal fold epithelial barrier. Study Design: Prospective animal study. Methods: Eighteen New Zealand white breeder rabbits were randomly assigned to receive 30 minutes of raised intensity phonation or approximation of the vocal folds without phonation. Quantitative polymerase chain reaction (qPCR) was used to investigate transcript levels of the epithelial intercellular tight junction proteins, occludin and zonula occludin-1 (ZO-1), and the adherens junction proteins β-catenin and E-cadherin. Structural alterations to the vocal fold epithelium were further examined by scanning electron microscopy (SEM) and transmission electron microscopy (TEM). Results: Mann-Whitney U revealed significantly decreased occludin (P =.016) and β-catenin (P =.016) gene expression from rabbits undergoing raised intensity phonation compared with control. There were no significant differences in Z0-1 and E-cadherin gene expression between groups (P \\textgreater.025). SEM revealed significant obliteration, desquamation, and evidence of microhole formation in rabbit vocal folds exposed to raised intensity phonation compared with control, whereas TEM revealed dilated intercellular morphology between groups. Conclusions: Results provide support for the hypothesis that a transient episode of raised intensity phonation alters transcript levels of vocal fold intercellular tight junction proteins and disrupts integrity of the epithelial barrier. The loss of barrier integrity may have significant consequences on epithelial defenses and compromise protection of the underlying mucosa from damage secondary to prolonged vibration exposure. © 2011 The American Laryngological, Rhinological, and Otological Society, Inc.","container-title":"Laryngoscope","DOI":"10.1002/lary.21364","ISSN":"0023852X","issue":"2","page":"346-351","title":"Raised intensity phonation compromises vocal fold epithelial barrier integrity","volume":"121","author":[{"family":"Rousseau","given":"Bernard"},{"family":"Suehiro","given":"Atsushi"},{"family":"Echemendia","given":"Nicholas"},{"family":"Sivasankar","given":"Mahalakshmi"}],"issued":{"date-parts":[["2011"]]}}},{"id":2041,"uris":["http://zotero.org/users/6281125/items/925BUJ39"],"uri":["http://zotero.org/users/6281125/items/925BUJ39"],"itemData":{"id":2041,"type":"article-journal","abstract":"Electrophysiological homeostasis is indispensable to vocal fold hydration. We investigate tight junction (TJ)-associated components, occludin and ZO-1, and permeability with or without the challenge of a permeability-augmenting agent, histamine. Freshly excised ovine larynges are obtained from a local abattoir. TJ markers are explored via reverse transcriptase polymerase chain reaction (RT-PCR). Paracellular permeabilities are measured in an Ussing system. The gene expression of both TJ markers is detected in native ovine vocal fold epithelium. Luminal histamine treatment significantly decreases transepithelial resistance (TER) (N = 72, p,0.01) and increases penetration of protein tracer (N = 35, p,0.001), respectively, in a time-, and dose-dependent fashion. The present study demonstrates that histamine compromises TJrelated paracellular barrier across vocal fold epithelium. The detection of TJ markers indicates the existence of typical TJ components in non-keratinized, stratified vocal fold epithelium. The responsiveness of paracellular permeabilities to histamine would highlight the functional significance of this TJ-equivalent system to the electrophysiological homeostasis, which, in turn, regulates the vocal fold superficial hydration.","container-title":"PLoS ONE","DOI":"10.1371/journal.pone.0034017","ISSN":"1932-6203","issue":"3","journalAbbreviation":"PLoS ONE","language":"en","page":"e34017","source":"DOI.org (Crossref)","title":"Tight junction-related barrier contributes to the electrophysiological asymmetry across vocal fold epithelium","volume":"7","author":[{"family":"Zhang","given":"Qianru"},{"family":"Fisher","given":"Kimberly"}],"editor":[{"family":"Deli","given":"Maria A."}],"issued":{"date-parts":[["2012",3,19]]}}},{"id":584,"uris":["http://zotero.org/users/6281125/items/N97BWRHD"],"uri":["http://zotero.org/users/6281125/items/N97BWRHD"],"itemData":{"id":584,"type":"article-journal","abstract":"The disruption of intercellular junctions in the larynx is a pathological feature of laryngopharyngeal reflux (LPR). Good experimental models are necessary to gain greater insight into the molecular mechanisms and alterations that result from abnormal exposure of the laryngeal epithelium to acid refluxate.","container-title":"Journal of Clinical Pathology","DOI":"10.1136/jcp.2004.016972","ISSN":"00219746","issue":"12","note":"PMID: 16311345","page":"1265–1270","title":"Characterisation of adherens and tight junctional molecules in normal animal larynx; determining a suitable model for studying molecular abnormalities in human laryngopharyngeal reflux","volume":"58","author":[{"family":"Gill","given":"G. A."},{"family":"Buda","given":"A."},{"family":"Moorghen","given":"M."},{"family":"Dettmar","given":"P. W."},{"family":"Pignatelli","given":"M."}],"issued":{"date-parts":[["2005"]]}}}],"schema":"https://github.com/citation-style-language/schema/raw/master/csl-citation.json"} </w:instrText>
      </w:r>
      <w:r w:rsidRPr="00977349">
        <w:fldChar w:fldCharType="separate"/>
      </w:r>
      <w:r w:rsidR="00BB4EAD" w:rsidRPr="00BB4EAD">
        <w:rPr>
          <w:vertAlign w:val="superscript"/>
        </w:rPr>
        <w:t>30–33</w:t>
      </w:r>
      <w:r w:rsidRPr="00977349">
        <w:fldChar w:fldCharType="end"/>
      </w:r>
      <w:r w:rsidRPr="00977349">
        <w:t xml:space="preserve"> Anchoring junctions in the </w:t>
      </w:r>
      <w:r w:rsidR="003E0A00">
        <w:t>VF</w:t>
      </w:r>
      <w:r w:rsidRPr="00977349">
        <w:t xml:space="preserve">, including </w:t>
      </w:r>
      <w:r w:rsidR="00B7473D">
        <w:t>e</w:t>
      </w:r>
      <w:r w:rsidRPr="00977349">
        <w:t>-cadherin, connect adjacent epithelial cells and also contribute to sealing paracellular spaces.</w:t>
      </w:r>
      <w:r w:rsidRPr="00977349">
        <w:rPr>
          <w:highlight w:val="yellow"/>
        </w:rPr>
        <w:fldChar w:fldCharType="begin" w:fldLock="1"/>
      </w:r>
      <w:r w:rsidR="00BB4EAD">
        <w:rPr>
          <w:highlight w:val="yellow"/>
        </w:rPr>
        <w:instrText xml:space="preserve"> ADDIN ZOTERO_ITEM CSL_CITATION {"citationID":"CTL9qENg","properties":{"formattedCitation":"\\super 34\\nosupersub{}","plainCitation":"34","noteIndex":0},"citationItems":[{"id":343,"uris":["http://zotero.org/users/6281125/items/KSTA4CZS"],"uri":["http://zotero.org/users/6281125/items/KSTA4CZS"],"itemData":{"id":343,"type":"article-journal","container-title":"Annual Review of Biochemistry","issue":"1","page":"237-252","title":"Cadherins: a molecular family important in selective cell-cell adhesion","volume":"59","author":[{"family":"Takeichi","given":"Masatoshi"}],"issued":{"date-parts":[["1990"]]}}}],"schema":"https://github.com/citation-style-language/schema/raw/master/csl-citation.json"} </w:instrText>
      </w:r>
      <w:r w:rsidRPr="00977349">
        <w:rPr>
          <w:highlight w:val="yellow"/>
        </w:rPr>
        <w:fldChar w:fldCharType="separate"/>
      </w:r>
      <w:r w:rsidR="00BB4EAD" w:rsidRPr="00BB4EAD">
        <w:rPr>
          <w:vertAlign w:val="superscript"/>
        </w:rPr>
        <w:t>34</w:t>
      </w:r>
      <w:r w:rsidRPr="00977349">
        <w:rPr>
          <w:highlight w:val="yellow"/>
        </w:rPr>
        <w:fldChar w:fldCharType="end"/>
      </w:r>
      <w:r w:rsidRPr="00977349">
        <w:t xml:space="preserve"> E-cadherin is also believed to facilitate the formation of TJs.</w:t>
      </w:r>
      <w:r w:rsidRPr="00977349">
        <w:rPr>
          <w:highlight w:val="yellow"/>
        </w:rPr>
        <w:fldChar w:fldCharType="begin" w:fldLock="1"/>
      </w:r>
      <w:r w:rsidR="00BB4EAD">
        <w:rPr>
          <w:highlight w:val="yellow"/>
        </w:rPr>
        <w:instrText xml:space="preserve"> ADDIN ZOTERO_ITEM CSL_CITATION {"citationID":"SCMpLFoP","properties":{"formattedCitation":"\\super 34\\nosupersub{}","plainCitation":"34","noteIndex":0},"citationItems":[{"id":343,"uris":["http://zotero.org/users/6281125/items/KSTA4CZS"],"uri":["http://zotero.org/users/6281125/items/KSTA4CZS"],"itemData":{"id":343,"type":"article-journal","container-title":"Annual Review of Biochemistry","issue":"1","page":"237-252","title":"Cadherins: a molecular family important in selective cell-cell adhesion","volume":"59","author":[{"family":"Takeichi","given":"Masatoshi"}],"issued":{"date-parts":[["1990"]]}}}],"schema":"https://github.com/citation-style-language/schema/raw/master/csl-citation.json"} </w:instrText>
      </w:r>
      <w:r w:rsidRPr="00977349">
        <w:rPr>
          <w:highlight w:val="yellow"/>
        </w:rPr>
        <w:fldChar w:fldCharType="separate"/>
      </w:r>
      <w:r w:rsidR="00BB4EAD" w:rsidRPr="00BB4EAD">
        <w:rPr>
          <w:vertAlign w:val="superscript"/>
        </w:rPr>
        <w:t>34</w:t>
      </w:r>
      <w:r w:rsidRPr="00977349">
        <w:rPr>
          <w:highlight w:val="yellow"/>
        </w:rPr>
        <w:fldChar w:fldCharType="end"/>
      </w:r>
      <w:r w:rsidRPr="00977349">
        <w:t xml:space="preserve"> Other </w:t>
      </w:r>
      <w:r w:rsidR="00B7473D">
        <w:t>AJs</w:t>
      </w:r>
      <w:r w:rsidRPr="00977349">
        <w:t>, such as hemidesmosomes, connect the basal epithelium to the LP via fastening structures in the BMZ, attaching the SSE to the LP</w:t>
      </w:r>
      <w:r w:rsidR="00A472D2">
        <w:t xml:space="preserve"> (Figure 2 D)</w:t>
      </w:r>
      <w:r w:rsidRPr="00977349">
        <w:t>.</w:t>
      </w:r>
      <w:r w:rsidRPr="00977349">
        <w:fldChar w:fldCharType="begin"/>
      </w:r>
      <w:r w:rsidR="00BB4EAD">
        <w:instrText xml:space="preserve"> ADDIN ZOTERO_ITEM CSL_CITATION {"citationID":"D8abgvZl","properties":{"formattedCitation":"\\super 35\\nosupersub{}","plainCitation":"35","noteIndex":0},"citationItems":[{"id":2494,"uris":["http://zotero.org/users/6281125/items/XRUY7TL9"],"uri":["http://zotero.org/users/6281125/items/XRUY7TL9"],"itemData":{"id":2494,"type":"article-journal","container-title":"Journal of Voice","ISSN":"0892-1997","issue":"1","journalAbbreviation":"Journal of Voice","note":"publisher: Elsevier","page":"48-52","title":"Morphologic ultrastructure of anchoring fibers in normal vocal fold basement membrane zone","volume":"8","author":[{"family":"Gray","given":"Steven D"},{"family":"Pignatari","given":"Shirley SN"},{"family":"Harding","given":"Penny"}],"issued":{"date-parts":[["1994"]]}}}],"schema":"https://github.com/citation-style-language/schema/raw/master/csl-citation.json"} </w:instrText>
      </w:r>
      <w:r w:rsidRPr="00977349">
        <w:fldChar w:fldCharType="separate"/>
      </w:r>
      <w:r w:rsidR="00BB4EAD" w:rsidRPr="00BB4EAD">
        <w:rPr>
          <w:vertAlign w:val="superscript"/>
        </w:rPr>
        <w:t>35</w:t>
      </w:r>
      <w:r w:rsidRPr="00977349">
        <w:fldChar w:fldCharType="end"/>
      </w:r>
      <w:r w:rsidRPr="00977349">
        <w:t xml:space="preserve"> </w:t>
      </w:r>
    </w:p>
    <w:p w14:paraId="72CB61F0" w14:textId="77777777" w:rsidR="004A1C93" w:rsidRDefault="004A1C93" w:rsidP="004A1C93">
      <w:pPr>
        <w:ind w:firstLine="0"/>
      </w:pPr>
    </w:p>
    <w:p w14:paraId="1D259052" w14:textId="77777777" w:rsidR="00227882" w:rsidRDefault="004A1C93" w:rsidP="00227882">
      <w:pPr>
        <w:keepNext/>
        <w:ind w:firstLine="0"/>
        <w:jc w:val="center"/>
      </w:pPr>
      <w:r>
        <w:rPr>
          <w:noProof/>
        </w:rPr>
        <w:drawing>
          <wp:inline distT="0" distB="0" distL="0" distR="0" wp14:anchorId="0CA9B8E4" wp14:editId="12C5DE7E">
            <wp:extent cx="5672975" cy="3056511"/>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07620" cy="3075177"/>
                    </a:xfrm>
                    <a:prstGeom prst="rect">
                      <a:avLst/>
                    </a:prstGeom>
                    <a:noFill/>
                    <a:ln>
                      <a:noFill/>
                    </a:ln>
                  </pic:spPr>
                </pic:pic>
              </a:graphicData>
            </a:graphic>
          </wp:inline>
        </w:drawing>
      </w:r>
    </w:p>
    <w:p w14:paraId="71C29E4C" w14:textId="2F2BC64A" w:rsidR="004A1C93" w:rsidRDefault="00227882" w:rsidP="00227882">
      <w:pPr>
        <w:pStyle w:val="Caption"/>
      </w:pPr>
      <w:bookmarkStart w:id="10" w:name="_Toc88218595"/>
      <w:r>
        <w:t xml:space="preserve">Figure </w:t>
      </w:r>
      <w:r>
        <w:fldChar w:fldCharType="begin"/>
      </w:r>
      <w:r>
        <w:instrText xml:space="preserve"> SEQ Figure \* ARABIC </w:instrText>
      </w:r>
      <w:r>
        <w:fldChar w:fldCharType="separate"/>
      </w:r>
      <w:r w:rsidR="00CD04FC">
        <w:t>2</w:t>
      </w:r>
      <w:r>
        <w:fldChar w:fldCharType="end"/>
      </w:r>
      <w:r>
        <w:t>. C</w:t>
      </w:r>
      <w:r w:rsidR="00FA477F">
        <w:t>oronal-</w:t>
      </w:r>
      <w:r w:rsidR="00826204">
        <w:t>s</w:t>
      </w:r>
      <w:r>
        <w:t xml:space="preserve">ection </w:t>
      </w:r>
      <w:r w:rsidR="00EA09DC">
        <w:t>of the VF SSE</w:t>
      </w:r>
      <w:bookmarkEnd w:id="10"/>
    </w:p>
    <w:p w14:paraId="5A25604A" w14:textId="319E9BD7" w:rsidR="00173929" w:rsidRDefault="006D1BDC" w:rsidP="000E616F">
      <w:pPr>
        <w:pStyle w:val="Heading3"/>
        <w:jc w:val="center"/>
      </w:pPr>
      <w:bookmarkStart w:id="11" w:name="_Toc88218506"/>
      <w:bookmarkStart w:id="12" w:name="_Toc106513532"/>
      <w:bookmarkStart w:id="13" w:name="_Toc106717790"/>
      <w:bookmarkStart w:id="14" w:name="_Toc8115844"/>
      <w:r>
        <w:t>Lamina Propria</w:t>
      </w:r>
      <w:bookmarkEnd w:id="11"/>
    </w:p>
    <w:p w14:paraId="2CCD4EAA" w14:textId="43FB08E0" w:rsidR="00E21932" w:rsidRPr="00E21932" w:rsidRDefault="00BB4EAD" w:rsidP="005E7FE9">
      <w:r w:rsidRPr="00327AD6">
        <w:t xml:space="preserve">The LP is separated into three sections made up of the superficial, intermediate, and deep layers. These layers are distinctly characterized by their histological elements consisting of different concentrations of </w:t>
      </w:r>
      <w:r w:rsidR="003E0A00">
        <w:t>ECM</w:t>
      </w:r>
      <w:r w:rsidRPr="00327AD6">
        <w:t xml:space="preserve"> components including collagen, elastin, and interstitial proteins. Collagen is an abundant </w:t>
      </w:r>
      <w:r w:rsidRPr="00327AD6">
        <w:rPr>
          <w:color w:val="222222"/>
          <w:shd w:val="clear" w:color="auto" w:fill="FFFFFF"/>
        </w:rPr>
        <w:t xml:space="preserve">fibrous protein </w:t>
      </w:r>
      <w:r w:rsidRPr="00327AD6">
        <w:t>that provides the tissue with tensile strength and functions as scaffolding for many cellular processes.</w:t>
      </w:r>
      <w:r w:rsidRPr="00327AD6">
        <w:fldChar w:fldCharType="begin"/>
      </w:r>
      <w:r w:rsidR="00E940BB">
        <w:instrText xml:space="preserve"> ADDIN ZOTERO_ITEM CSL_CITATION {"citationID":"s6CrH1wi","properties":{"formattedCitation":"\\super 36\\nosupersub{}","plainCitation":"36","noteIndex":0},"citationItems":[{"id":192,"uris":["http://zotero.org/users/6281125/items/46E7BDZQ"],"uri":["http://zotero.org/users/6281125/items/46E7BDZQ"],"itemData":{"id":192,"type":"article-journal","abstract":"Transforming growth factor-beta, a potent modulator of cell function, induces fibroblasts cultured on plastic to increase collagen synthesis. In 5- and 7-day porcine skin wounds, which have minimal to moderate collagen matrix, respectively, transforming growth factor-beta and type I procollagen were coordinately expressed throughout the granulation tissue. However, in 10-day collagen-rich granulation tissue type I procollagen expression diminished despite persistence of transforming growth factor-beta. To investigate whether collagen matrix attenuates the collagen-synthetic response of fibroblasts to transforming growth factor-beta, we cultured human dermal fibroblasts in conditions that simulate collagen-rich granulation tissue. Therefore, human dermal fibroblasts were suspended in attached collagen gels and collagen and noncollagen production was assayed in the absence and presence of transforming growth factor-beta. Although transforming growth factor-beta stimulated collagen synthesis by fibroblasts cultured in the collagen gels, these fibroblasts consistently produced less collagen than similarly treated fibroblasts cultured on plastic. This phenomenon was not secondary to nonspecific binding of transforming growth factor-beta to the collagen matrix. Fibroblasts cultured in a fibrin gel responded to transforming growth factor-beta similarly to fibroblasts cultured on plastic. Using immunofluorescence probes to type I procollagen, we observed that transforming growth factor-beta increased type I procollagen expression in most fibroblasts cultured on plastic, but only in occasional fibroblasts cultured in collagen gels. From these data we conclude that collagen matrices attenuate the collagen synthetic response of fibroblast to transforming growth factor-beta in vitro and possibly in vivo.","container-title":"Journal of cell science","ISSN":"0021-9533","issue":"3","note":"PMID: 7622608","page":"1251-1261","title":"Collagen matrices attenuate the collagen-synthetic response of cultured fibroblasts to TGF-beta.","volume":"108","author":[{"family":"Clark","given":"R A"},{"family":"Nielsen","given":"L D"},{"family":"Welch","given":"M P"},{"family":"McPherson","given":"J M"}],"issued":{"date-parts":[["1995"]]}}}],"schema":"https://github.com/citation-style-language/schema/raw/master/csl-citation.json"} </w:instrText>
      </w:r>
      <w:r w:rsidRPr="00327AD6">
        <w:fldChar w:fldCharType="separate"/>
      </w:r>
      <w:r w:rsidRPr="00BB4EAD">
        <w:rPr>
          <w:vertAlign w:val="superscript"/>
        </w:rPr>
        <w:t>36</w:t>
      </w:r>
      <w:r w:rsidRPr="00327AD6">
        <w:fldChar w:fldCharType="end"/>
      </w:r>
      <w:r w:rsidRPr="00327AD6">
        <w:t xml:space="preserve"> Elastin is essential for the elasticity and ability to stretch and recoil under the forces of phonation.</w:t>
      </w:r>
      <w:r w:rsidRPr="00327AD6">
        <w:fldChar w:fldCharType="begin"/>
      </w:r>
      <w:r w:rsidR="00E940BB">
        <w:instrText xml:space="preserve"> ADDIN ZOTERO_ITEM CSL_CITATION {"citationID":"VvRD97E3","properties":{"formattedCitation":"\\super 37\\nosupersub{}","plainCitation":"37","noteIndex":0},"citationItems":[{"id":235,"uris":["http://zotero.org/users/6281125/items/WJ2AHTSZ"],"uri":["http://zotero.org/users/6281125/items/WJ2AHTSZ"],"itemData":{"id":235,"type":"article-journal","abstract":"Elastic fibers are large, complex and surprisingly poorly understood extracellular matrix (ECM) macromolecules. The elastin fiber, generated from a single human gene-elastin (ELN), is a self assembling integral protein that endows critical mechanic proprieties to elastic tissues and organs such as the skin, lungs, and arteries. The biology of elastic fibers is complex because they have multiple components, a tightly regulated developmental deposition, a multi-step hierarchical assembly and unique biomechanical functions. Elastin is present in vocal folds, where it plays a pivotal role in the quality of phonation. This review article provides an overview of the genesis of elastin and its wide-ranging structure and function. Specific distribution within the vocal fold lamina propria across the lifespan in normal and pathological states and its contribution to vocal fold biomechanics will be examined. Elastin and elastin-derived molecules are increasingly investigated for their application in tissue engineering. The properties of various elastin-based materials will be discussed and their current and future applications evaluated. A new level of understanding of the biomechanical properties of vocal fold elastin composites and their molecular basis should lead to new strategies for elastic fiber repair and regeneration in aging and disease.","container-title":"Journal of Voice","DOI":"10.1016/j.jvoice.2011.05.003","issue":"3","page":"269-275","title":"Insights into the role of elastin in vocal fold health and disease","volume":"26","author":[{"family":"Moore","given":"Jaime"},{"family":"Thibeault","given":"Susan"}],"issued":{"date-parts":[["2011"]]}}}],"schema":"https://github.com/citation-style-language/schema/raw/master/csl-citation.json"} </w:instrText>
      </w:r>
      <w:r w:rsidRPr="00327AD6">
        <w:fldChar w:fldCharType="separate"/>
      </w:r>
      <w:r w:rsidRPr="00BB4EAD">
        <w:rPr>
          <w:vertAlign w:val="superscript"/>
        </w:rPr>
        <w:t>37</w:t>
      </w:r>
      <w:r w:rsidRPr="00327AD6">
        <w:fldChar w:fldCharType="end"/>
      </w:r>
      <w:r w:rsidRPr="00327AD6">
        <w:t xml:space="preserve"> Interstitial proteins, including </w:t>
      </w:r>
      <w:r w:rsidR="003E0A00">
        <w:t>h</w:t>
      </w:r>
      <w:r w:rsidRPr="00327AD6">
        <w:t>yaluronic acid (HA), occup</w:t>
      </w:r>
      <w:r w:rsidR="00BA38A8">
        <w:t>y</w:t>
      </w:r>
      <w:r w:rsidRPr="00327AD6">
        <w:t xml:space="preserve"> the spaces within the ECM and acts as a shock absorber during the impacts of the VFs during phonation</w:t>
      </w:r>
      <w:r w:rsidRPr="00327AD6">
        <w:fldChar w:fldCharType="begin"/>
      </w:r>
      <w:r w:rsidR="00E940BB">
        <w:instrText xml:space="preserve"> ADDIN ZOTERO_ITEM CSL_CITATION {"citationID":"o0PhsSsL","properties":{"formattedCitation":"\\super 17,38,39\\nosupersub{}","plainCitation":"17,38,39","noteIndex":0},"citationItems":[{"id":2059,"uris":["http://zotero.org/users/6281125/items/B8GQG67Z"],"uri":["http://zotero.org/users/6281125/items/B8GQG67Z"],"itemData":{"id":2059,"type":"article-journal","abstract":"This article discusses the molecular composition of the vocal fold and the relationship of fibrous molecules to the biomechanical and physiological performance of the tissue. The components of the extracellular matrix may be divided into fibrous proteins and interstitial proteins. The fibrous proteins, consisting of collagens and elastins, are the focus of this report. Elastin concentration varies by tissue depth in the vocal folds. Variation of elastin by age is reported, but some controversy exists. The biomechanical terms of stress and strain (and stress-strain curves of human vocal folds) are related to the fibrous proteins of the vocal folds. The fibrous proteins, their role in stress, and their effect on the dynamic range of vocal pitch are presented.","container-title":"Annals of Otology, Rhinology &amp; Laryngology","DOI":"10.1177/000348940010900115","ISSN":"0003-4894","issue":"1","journalAbbreviation":"Ann Otol Rhinol Laryngol","note":"publisher: SAGE Publications Inc","page":"77-85","source":"SAGE Journals","title":"Biomechanical and histologic observations of vocal fold fibrous proteins","volume":"109","author":[{"family":"Gray","given":"Steven D."},{"family":"Alipour","given":"Fariborz"},{"family":"Titze","given":"Ingo R."},{"family":"Hammond","given":"Thomas Hale"}],"issued":{"date-parts":[["2000",1,1]]}}},{"id":2496,"uris":["http://zotero.org/users/6281125/items/INJNCDXC"],"uri":["http://zotero.org/users/6281125/items/INJNCDXC"],"itemData":{"id":2496,"type":"article-journal","abstract":"Objective/Hypothesis: To examine the interstitial proteins of the vocal fold and their influence on the biomechanical properties of that tissue. Study Design: Anatomic study of the lamina propria of human cadaveric vocal folds combined with some viscosity testing. Methods: Identification of proteoglycans is performed with histochemical staining. Quantitative analysis is performed using an image analysis system. A rheometer is used for viscosity testing. Three-dimensional rendering program is used for the computer images. Results: Proteoglycans play an important role in tissue biomechanics. Hyaluronic acid is a key molecule that affects viscosity. Discussion: The proteoglycans of the lamina propria have important biological and biomechanical effects. The role of hyaluronic acid in determining tissue viscosity is emphasized. Viscosity, its effect on phonatory threshold pressure and energy expended due to phonation is discussed. Conclusion: Proteoglycans, particularly hyaluronic acid, play important roles in determining biomechanical properties of tissue oscillation. Future research will likely make these proteins of important therapeutic interest.","container-title":"The Laryngoscope","DOI":"10.1097/00005537-199906000-00001","ISSN":"1531-4995","issue":"6","language":"en","note":"_eprint: https://onlinelibrary.wiley.com/doi/pdf/10.1097/00005537-199906000-00001","page":"845-854","source":"Wiley Online Library","title":"Vocal fold proteoglycans and their influence on biomechanics","volume":"109","author":[{"family":"Gray","given":"Steven D."},{"family":"Titze","given":"Ingo R."},{"family":"Chan","given":"Roger"},{"family":"Hammond","given":"Thomas Hale"}],"issued":{"date-parts":[["1999"]]}}},{"id":2429,"uris":["http://zotero.org/users/6281125/items/4L333F2F"],"uri":["http://zotero.org/users/6281125/items/4L333F2F"],"itemData":{"id":2429,"type":"article-journal","abstract":"The extracellular matrix (ECM), once regarded simply as a structural scaffold, is now recognized as an important modulator of cellular behavior and function. One component that plays a prominent role in this process is hyaluronic acid (HA)—a molecule found in many different tissues. Research into the roles of HA indicates that it plays a key role in tissue viscosity, shock absorption, and space filling. Specifically, research into the role of HA in laryngology indicates that it has profound effects on the structure and viscosity of vocal folds. This article provides an introduction to the structure and biological functions of HA and its importance in voice. In addition, an overview of the pharmaceutical applications of HA is discussed.","container-title":"Journal of Voice","DOI":"10.1016/S0892-1997(02)00101-7","ISSN":"0892-1997","issue":"3","journalAbbreviation":"Journal of Voice","language":"en","page":"303-309","source":"ScienceDirect","title":"Hyaluronic acid: its role in voice","title-short":"Hyaluronic Acid","volume":"16","author":[{"family":"Ward","given":"P. Daniel"},{"family":"Thibeault","given":"Susan L"},{"family":"Gray","given":"Steven D"}],"issued":{"date-parts":[["2002",9,1]]}}}],"schema":"https://github.com/citation-style-language/schema/raw/master/csl-citation.json"} </w:instrText>
      </w:r>
      <w:r w:rsidRPr="00327AD6">
        <w:fldChar w:fldCharType="separate"/>
      </w:r>
      <w:r w:rsidRPr="00BB4EAD">
        <w:rPr>
          <w:vertAlign w:val="superscript"/>
        </w:rPr>
        <w:t>17,38,39</w:t>
      </w:r>
      <w:r w:rsidRPr="00327AD6">
        <w:fldChar w:fldCharType="end"/>
      </w:r>
      <w:r w:rsidRPr="00327AD6">
        <w:t xml:space="preserve"> and </w:t>
      </w:r>
      <w:r w:rsidR="00BA38A8">
        <w:t>are</w:t>
      </w:r>
      <w:r w:rsidRPr="00327AD6">
        <w:t xml:space="preserve"> involved </w:t>
      </w:r>
      <w:r w:rsidR="00BA38A8">
        <w:t xml:space="preserve">in </w:t>
      </w:r>
      <w:r w:rsidRPr="00327AD6">
        <w:t>cell proliferation, cell migration, and ECM organization.</w:t>
      </w:r>
      <w:r w:rsidRPr="00327AD6">
        <w:fldChar w:fldCharType="begin"/>
      </w:r>
      <w:r w:rsidR="00E940BB">
        <w:instrText xml:space="preserve"> ADDIN ZOTERO_ITEM CSL_CITATION {"citationID":"x8dOvaXf","properties":{"formattedCitation":"\\super 40\\uc0\\u8211{}42\\nosupersub{}","plainCitation":"40–42","noteIndex":0},"citationItems":[{"id":49,"uris":["http://zotero.org/users/6281125/items/T7AXP6DN"],"uri":["http://zotero.org/users/6281125/items/T7AXP6DN"],"itemData":{"id":49,"type":"article-journal","abstract":"Introduction: Hyaluronic acid (hyaluronan) is a key component of the extracellular matrix and is known to be involved in several mechanisms of the wound healing process. It has been shown to improve and accelerate the healing process of chronic wounds. This open-label study investigated whether application of hyaluronic acid could also improve the healing progression of acute wounds. Methods: Forty-three patients with acute wounds, including trauma wounds, surgical sutures, burns, and dermabrasions, were included in the study. Hyaluronic acid (ialuset®) was applied either as a cream or as a dressing, and the progression and quality of healing were evaluated at each application for a maximum of nine applications. Results: The mean surface area of the wounds decreased from 556 mm 2 at baseline to 169 mm 2 by the sixth evaluation, an average reduction of 70% in the surface area of the wounds. Complete healing occurred in 56% of cases by the sixth application. Little or no fibrin was observed in 91% of cases, and 84% of wounds showed little or no exudate. Both formulations of hyaluronic acid were well tolerated and were rated highly by nurses and patients for ease of use and treatment satisfaction. Conclusion: Interpretation of the results of this open-label study is limited by the lack of a standard wound dressing as a comparator and by the varying types of wounds selected for inclusion. Nevertheless, the results of this study indicate that hyaluronic acid provides good healing of acute wounds and is well accepted by both patients and nurses. © 2006 Adis Data Information BV. All rights reserved.","container-title":"American Journal of Clinical Dermatology","DOI":"10.2165/00128071-200607060-00003","ISSN":"11750561","issue":"6","page":"353-357","title":"Efficacy and safety of hyaluronic acid in the management of acute wounds","volume":"7","author":[{"family":"Voinchet","given":"Véronique"},{"family":"Vasseur","given":"Pascal"},{"family":"Kern","given":"Jéróme"}],"issued":{"date-parts":[["2006"]]}}},{"id":50,"uris":["http://zotero.org/users/6281125/items/8EY5XZ5V"],"uri":["http://zotero.org/users/6281125/items/8EY5XZ5V"],"itemData":{"id":50,"type":"article-journal","abstract":"A model is presented outlining the molecular and cellular events that occur during the early stages of the wound healing process. The underlying theme is that there is a specific binding interaction between fibrin, the major clot protein, and hyaluronic acid (HA), a constituent of the wound extracellular matrix. This binding interaction, which could also be stabilized by other cross-linking components, provides the driving force to organize a three-dimensional HA matrix attached to and interdigitated with the initial fibrin matrix. The HA-fibrin matrix plays a major role in the subsequent tissue reconstruction processes. We suggest that HA and fibrin have both structural and regulatory functions at different times during the wound healing process. The concentration of HA in blood and in the initial clot is very low. This is consistent with the proposed interaction between HA and fibrin(ogen), which could interfere with either fibrinogen activation or fibrin assembly and cross-linking. We propose that an activator (e.g. derived from a plasma precursor, platelets or surrounding cells) is produced during the clotting reaction and then stimulates one or more blood cell types to synthesize and secrete HA into the fibrin matrix of the clot. We predict that HA controls the stability of the matrix by regulating the degradation of fibrin. The new HA-fibrin matrix increases or stabilizes the volume and porosity of the clot and then serves as a physical support, a scaffold through which cells trapped in the clot or cells infiltrating from the peripheral edge of the wound can migrate. The HA-fibrin matrix also actively stimulates or induces cell motility and activates and regulates many functions of blood cells, which are involved in the inflammatory response, including phagocytosis and chemotaxis. The secondary HA-fibrin matrix itself is then modified as cells continue to migrate into the wound, secreting hyaluronidase and plasminogen activator to degrade the HA and fibrin. At the same time these cells secrete collagen and glycosaminoglycans to make a more differentiated matrix. The degradation products derived from both fibrin and HA are, in turn, important regulatory molecules which control cellular functions involved in the inflammatory response and new blood vessel formation in the healing wound. The proposed model generates a number of testable experimental predictions. © 1986 Academic Press Inc. (London) Ltd.","container-title":"Journal of Theoretical Biology","DOI":"10.1016/S0022-5193(86)80076-5","ISSN":"10958541","issue":"2","page":"219-234","title":"A model for the role of hyaluronic acid and fibrin in the early events during the inflammatory response and wound healing","volume":"119","author":[{"family":"Weigel","given":"Paul H."},{"family":"Fuller","given":"Gerald M."},{"family":"LeBoeuf","given":"Robert D."}],"issued":{"date-parts":[["1986"]]}}},{"id":594,"uris":["http://zotero.org/users/6281125/items/HDMQCYLE"],"uri":["http://zotero.org/users/6281125/items/HDMQCYLE"],"itemData":{"id":594,"type":"article-journal","container-title":"National Center for Voice and Speech Status and Progress Report","issue":"July","page":"49–54","title":"The intermediate layer: a morphologic study of the elastin and hyaluronic acid constituents of normal human vocal folds","volume":"8","author":[{"family":"Hammond","given":"T H"},{"family":"Zhou","given":"Ruixia"},{"family":"Hammond","given":"Elizabeth"},{"family":"Pawlak","given":"Agnieszka"},{"family":"Gray","given":"Steven"}],"issued":{"date-parts":[["1995"]]}}}],"schema":"https://github.com/citation-style-language/schema/raw/master/csl-citation.json"} </w:instrText>
      </w:r>
      <w:r w:rsidRPr="00327AD6">
        <w:fldChar w:fldCharType="separate"/>
      </w:r>
      <w:r w:rsidRPr="00BB4EAD">
        <w:rPr>
          <w:vertAlign w:val="superscript"/>
        </w:rPr>
        <w:t>40–42</w:t>
      </w:r>
      <w:r w:rsidRPr="00327AD6">
        <w:fldChar w:fldCharType="end"/>
      </w:r>
      <w:r w:rsidRPr="00327AD6">
        <w:t xml:space="preserve"> </w:t>
      </w:r>
      <w:r w:rsidR="00F8764B">
        <w:t>C</w:t>
      </w:r>
      <w:r w:rsidRPr="00327AD6">
        <w:t xml:space="preserve">ollagen and </w:t>
      </w:r>
      <w:r w:rsidR="00F8764B">
        <w:t>e</w:t>
      </w:r>
      <w:r w:rsidRPr="00327AD6">
        <w:t xml:space="preserve">lastin are mostly organized parallel to the anterior/posterior plane of the VFs, with </w:t>
      </w:r>
      <w:r w:rsidR="00BA38A8">
        <w:t xml:space="preserve">the </w:t>
      </w:r>
      <w:r w:rsidRPr="00327AD6">
        <w:t xml:space="preserve">density of distribution varying throughout the layers. The superficial layer of the VF has the least </w:t>
      </w:r>
      <w:r w:rsidR="005B6929">
        <w:t>c</w:t>
      </w:r>
      <w:r w:rsidRPr="00327AD6">
        <w:t xml:space="preserve">ollagen and </w:t>
      </w:r>
      <w:r w:rsidR="005B6929">
        <w:t>e</w:t>
      </w:r>
      <w:r w:rsidRPr="00327AD6">
        <w:t>lastin, with loosely organized fibers interspersed throughout the ECM.</w:t>
      </w:r>
      <w:r w:rsidRPr="00327AD6">
        <w:fldChar w:fldCharType="begin"/>
      </w:r>
      <w:r w:rsidR="00E940BB">
        <w:instrText xml:space="preserve"> ADDIN ZOTERO_ITEM CSL_CITATION {"citationID":"LkIlOOP4","properties":{"formattedCitation":"\\super 38,43\\nosupersub{}","plainCitation":"38,43","noteIndex":0},"citationItems":[{"id":2059,"uris":["http://zotero.org/users/6281125/items/B8GQG67Z"],"uri":["http://zotero.org/users/6281125/items/B8GQG67Z"],"itemData":{"id":2059,"type":"article-journal","abstract":"This article discusses the molecular composition of the vocal fold and the relationship of fibrous molecules to the biomechanical and physiological performance of the tissue. The components of the extracellular matrix may be divided into fibrous proteins and interstitial proteins. The fibrous proteins, consisting of collagens and elastins, are the focus of this report. Elastin concentration varies by tissue depth in the vocal folds. Variation of elastin by age is reported, but some controversy exists. The biomechanical terms of stress and strain (and stress-strain curves of human vocal folds) are related to the fibrous proteins of the vocal folds. The fibrous proteins, their role in stress, and their effect on the dynamic range of vocal pitch are presented.","container-title":"Annals of Otology, Rhinology &amp; Laryngology","DOI":"10.1177/000348940010900115","ISSN":"0003-4894","issue":"1","journalAbbreviation":"Ann Otol Rhinol Laryngol","note":"publisher: SAGE Publications Inc","page":"77-85","source":"SAGE Journals","title":"Biomechanical and histologic observations of vocal fold fibrous proteins","volume":"109","author":[{"family":"Gray","given":"Steven D."},{"family":"Alipour","given":"Fariborz"},{"family":"Titze","given":"Ingo R."},{"family":"Hammond","given":"Thomas Hale"}],"issued":{"date-parts":[["2000",1,1]]}}},{"id":2501,"uris":["http://zotero.org/users/6281125/items/M2KJ7QQ2"],"uri":["http://zotero.org/users/6281125/items/M2KJ7QQ2"],"itemData":{"id":2501,"type":"article-journal","container-title":"Otol (Fukuoka)","journalAbbreviation":"Otol (Fukuoka)","page":"239-242","title":"Phonosurgery: basic and clinical investigations","volume":"21","author":[{"family":"Hirano","given":"Minoru"}],"issued":{"date-parts":[["1975"]]}}}],"schema":"https://github.com/citation-style-language/schema/raw/master/csl-citation.json"} </w:instrText>
      </w:r>
      <w:r w:rsidRPr="00327AD6">
        <w:fldChar w:fldCharType="separate"/>
      </w:r>
      <w:r w:rsidRPr="00BB4EAD">
        <w:rPr>
          <w:vertAlign w:val="superscript"/>
        </w:rPr>
        <w:t>38,43</w:t>
      </w:r>
      <w:r w:rsidRPr="00327AD6">
        <w:fldChar w:fldCharType="end"/>
      </w:r>
      <w:r w:rsidRPr="00327AD6">
        <w:t xml:space="preserve"> The superficial LP contains elastin in the form of eulanin and oxytalan,</w:t>
      </w:r>
      <w:r w:rsidR="002A2D8A">
        <w:t xml:space="preserve"> </w:t>
      </w:r>
      <w:r w:rsidRPr="002A2D8A">
        <w:t>which are relatively brittle and fracture/reform with relative ease.</w:t>
      </w:r>
      <w:r>
        <w:rPr>
          <w:highlight w:val="yellow"/>
        </w:rPr>
        <w:fldChar w:fldCharType="begin"/>
      </w:r>
      <w:r w:rsidR="00E940BB">
        <w:rPr>
          <w:highlight w:val="yellow"/>
        </w:rPr>
        <w:instrText xml:space="preserve"> ADDIN ZOTERO_ITEM CSL_CITATION {"citationID":"IwU6trBM","properties":{"formattedCitation":"\\super 38,44\\nosupersub{}","plainCitation":"38,44","noteIndex":0},"citationItems":[{"id":2591,"uris":["http://zotero.org/users/6281125/items/44FRQT5T"],"uri":["http://zotero.org/users/6281125/items/44FRQT5T"],"itemData":{"id":2591,"type":"article-journal","container-title":"Annals of Otology, Rhinology &amp; Laryngology","ISSN":"0003-4894","issue":"1","journalAbbreviation":"Annals of Otology, Rhinology &amp; Laryngology","note":"publisher: SAGE Publications Sage CA: Los Angeles, CA","page":"6-11","title":"Immunocytochemical study of proteoglycans in vocal folds","volume":"105","author":[{"family":"Pawlak","given":"Agnieszka S"},{"family":"Hammond","given":"Elizabeth"},{"family":"Hammond","given":"Thomas"},{"family":"Gray","given":"Steven D"}],"issued":{"date-parts":[["1996"]]}}},{"id":2059,"uris":["http://zotero.org/users/6281125/items/B8GQG67Z"],"uri":["http://zotero.org/users/6281125/items/B8GQG67Z"],"itemData":{"id":2059,"type":"article-journal","abstract":"This article discusses the molecular composition of the vocal fold and the relationship of fibrous molecules to the biomechanical and physiological performance of the tissue. The components of the extracellular matrix may be divided into fibrous proteins and interstitial proteins. The fibrous proteins, consisting of collagens and elastins, are the focus of this report. Elastin concentration varies by tissue depth in the vocal folds. Variation of elastin by age is reported, but some controversy exists. The biomechanical terms of stress and strain (and stress-strain curves of human vocal folds) are related to the fibrous proteins of the vocal folds. The fibrous proteins, their role in stress, and their effect on the dynamic range of vocal pitch are presented.","container-title":"Annals of Otology, Rhinology &amp; Laryngology","DOI":"10.1177/000348940010900115","ISSN":"0003-4894","issue":"1","journalAbbreviation":"Ann Otol Rhinol Laryngol","note":"publisher: SAGE Publications Inc","page":"77-85","source":"SAGE Journals","title":"Biomechanical and histologic observations of vocal fold fibrous proteins","volume":"109","author":[{"family":"Gray","given":"Steven D."},{"family":"Alipour","given":"Fariborz"},{"family":"Titze","given":"Ingo R."},{"family":"Hammond","given":"Thomas Hale"}],"issued":{"date-parts":[["2000",1,1]]}}}],"schema":"https://github.com/citation-style-language/schema/raw/master/csl-citation.json"} </w:instrText>
      </w:r>
      <w:r>
        <w:rPr>
          <w:highlight w:val="yellow"/>
        </w:rPr>
        <w:fldChar w:fldCharType="separate"/>
      </w:r>
      <w:r w:rsidRPr="00BB4EAD">
        <w:rPr>
          <w:vertAlign w:val="superscript"/>
        </w:rPr>
        <w:t>38,44</w:t>
      </w:r>
      <w:r>
        <w:rPr>
          <w:highlight w:val="yellow"/>
        </w:rPr>
        <w:fldChar w:fldCharType="end"/>
      </w:r>
      <w:r w:rsidRPr="00327AD6">
        <w:t xml:space="preserve"> The intermediate layer has the highest concentration of HA of the three layers</w:t>
      </w:r>
      <w:r w:rsidRPr="00327AD6">
        <w:fldChar w:fldCharType="begin"/>
      </w:r>
      <w:r>
        <w:instrText xml:space="preserve"> ADDIN ZOTERO_ITEM CSL_CITATION {"citationID":"zz7wY7Mi","properties":{"formattedCitation":"\\super 45\\nosupersub{}","plainCitation":"45","noteIndex":0},"citationItems":[{"id":2502,"uris":["http://zotero.org/users/6281125/items/X3RZ9L4T"],"uri":["http://zotero.org/users/6281125/items/X3RZ9L4T"],"itemData":{"id":2502,"type":"article-journal","container-title":"The Laryngoscope","ISSN":"0023-852X","issue":"5","journalAbbreviation":"The Laryngoscope","note":"publisher: Wiley Online Library","page":"907-911","title":"Gender‐related differences of hyaluronic acid distribution in the human vocal fold","volume":"111","author":[{"family":"Butler","given":"John E"},{"family":"Hammond","given":"Thomas H"},{"family":"Gray","given":"Steven D"}],"issued":{"date-parts":[["2001"]]}}}],"schema":"https://github.com/citation-style-language/schema/raw/master/csl-citation.json"} </w:instrText>
      </w:r>
      <w:r w:rsidRPr="00327AD6">
        <w:fldChar w:fldCharType="separate"/>
      </w:r>
      <w:r w:rsidRPr="00BB4EAD">
        <w:rPr>
          <w:vertAlign w:val="superscript"/>
        </w:rPr>
        <w:t>45</w:t>
      </w:r>
      <w:r w:rsidRPr="00327AD6">
        <w:fldChar w:fldCharType="end"/>
      </w:r>
      <w:r w:rsidR="00BA38A8">
        <w:t xml:space="preserve"> </w:t>
      </w:r>
      <w:r w:rsidRPr="00327AD6">
        <w:t xml:space="preserve">and is more densely concentrated with </w:t>
      </w:r>
      <w:r w:rsidR="005B6929">
        <w:t>c</w:t>
      </w:r>
      <w:r w:rsidRPr="00327AD6">
        <w:t xml:space="preserve">ollagen and </w:t>
      </w:r>
      <w:r w:rsidR="005B6929">
        <w:t>e</w:t>
      </w:r>
      <w:r w:rsidRPr="00327AD6">
        <w:t xml:space="preserve">lastin than the superficial layer, with the </w:t>
      </w:r>
      <w:r w:rsidR="005B6929">
        <w:t>e</w:t>
      </w:r>
      <w:r w:rsidRPr="00327AD6">
        <w:t xml:space="preserve">lastin predominating over the </w:t>
      </w:r>
      <w:r w:rsidR="005B6929">
        <w:t>c</w:t>
      </w:r>
      <w:r w:rsidRPr="00327AD6">
        <w:t xml:space="preserve">ollagen. Finally, the deep layer of the LP </w:t>
      </w:r>
      <w:r w:rsidR="005B6929">
        <w:t>h</w:t>
      </w:r>
      <w:r w:rsidRPr="00327AD6">
        <w:t xml:space="preserve">as the densest concentration of </w:t>
      </w:r>
      <w:r w:rsidR="005B6929">
        <w:t>c</w:t>
      </w:r>
      <w:r w:rsidRPr="00327AD6">
        <w:t xml:space="preserve">ollagen and </w:t>
      </w:r>
      <w:r w:rsidR="005B6929">
        <w:t>e</w:t>
      </w:r>
      <w:r w:rsidRPr="00327AD6">
        <w:t xml:space="preserve">lastin, with </w:t>
      </w:r>
      <w:r w:rsidR="005B6929">
        <w:t>c</w:t>
      </w:r>
      <w:r w:rsidRPr="00327AD6">
        <w:t>ollagen predominating.</w:t>
      </w:r>
      <w:r w:rsidRPr="00327AD6">
        <w:fldChar w:fldCharType="begin"/>
      </w:r>
      <w:r>
        <w:instrText xml:space="preserve"> ADDIN ZOTERO_ITEM CSL_CITATION {"citationID":"ugcT315p","properties":{"formattedCitation":"\\super 46\\nosupersub{}","plainCitation":"46","noteIndex":0},"citationItems":[{"id":2503,"uris":["http://zotero.org/users/6281125/items/GBBAWTU3"],"uri":["http://zotero.org/users/6281125/items/GBBAWTU3"],"itemData":{"id":2503,"type":"article-journal","container-title":"Vocal fold physiology","journalAbbreviation":"Vocal fold physiology","note":"publisher: Singular Publishing Group","page":"1-17","title":"Molecular and cellular structure of vocal fold tissue","author":[{"family":"Gray","given":"Steven D"}],"issued":{"date-parts":[["1993"]]}}}],"schema":"https://github.com/citation-style-language/schema/raw/master/csl-citation.json"} </w:instrText>
      </w:r>
      <w:r w:rsidRPr="00327AD6">
        <w:fldChar w:fldCharType="separate"/>
      </w:r>
      <w:r w:rsidRPr="00BB4EAD">
        <w:rPr>
          <w:vertAlign w:val="superscript"/>
        </w:rPr>
        <w:t>46</w:t>
      </w:r>
      <w:r w:rsidRPr="00327AD6">
        <w:fldChar w:fldCharType="end"/>
      </w:r>
      <w:r w:rsidRPr="00327AD6">
        <w:t xml:space="preserve"> The intermediate and deep layers of the LP comprise the vocal ligament, which attaches to the underlying TA muscle.</w:t>
      </w:r>
      <w:r w:rsidRPr="00327AD6">
        <w:fldChar w:fldCharType="begin"/>
      </w:r>
      <w:r>
        <w:instrText xml:space="preserve"> ADDIN ZOTERO_ITEM CSL_CITATION {"citationID":"AxuTC2d5","properties":{"formattedCitation":"\\super 43\\nosupersub{}","plainCitation":"43","noteIndex":0},"citationItems":[{"id":2501,"uris":["http://zotero.org/users/6281125/items/M2KJ7QQ2"],"uri":["http://zotero.org/users/6281125/items/M2KJ7QQ2"],"itemData":{"id":2501,"type":"article-journal","container-title":"Otol (Fukuoka)","journalAbbreviation":"Otol (Fukuoka)","page":"239-242","title":"Phonosurgery: basic and clinical investigations","volume":"21","author":[{"family":"Hirano","given":"Minoru"}],"issued":{"date-parts":[["1975"]]}}}],"schema":"https://github.com/citation-style-language/schema/raw/master/csl-citation.json"} </w:instrText>
      </w:r>
      <w:r w:rsidRPr="00327AD6">
        <w:fldChar w:fldCharType="separate"/>
      </w:r>
      <w:r w:rsidRPr="00BB4EAD">
        <w:rPr>
          <w:vertAlign w:val="superscript"/>
        </w:rPr>
        <w:t>43</w:t>
      </w:r>
      <w:r w:rsidRPr="00327AD6">
        <w:fldChar w:fldCharType="end"/>
      </w:r>
      <w:r w:rsidRPr="00327AD6">
        <w:t xml:space="preserve"> </w:t>
      </w:r>
    </w:p>
    <w:p w14:paraId="35AE1F89" w14:textId="64F606C7" w:rsidR="007B4ACD" w:rsidRDefault="007B4ACD" w:rsidP="007B4ACD">
      <w:pPr>
        <w:pStyle w:val="Heading3"/>
        <w:jc w:val="center"/>
      </w:pPr>
      <w:bookmarkStart w:id="15" w:name="_Toc88218507"/>
      <w:r>
        <w:t>Thyroarytenoid Muscle</w:t>
      </w:r>
      <w:bookmarkEnd w:id="15"/>
      <w:r>
        <w:t xml:space="preserve"> </w:t>
      </w:r>
    </w:p>
    <w:p w14:paraId="0EDAD88E" w14:textId="7CC98D29" w:rsidR="007B4ACD" w:rsidRPr="000F1658" w:rsidRDefault="007B4ACD" w:rsidP="007B4ACD">
      <w:r w:rsidRPr="000F1658">
        <w:t xml:space="preserve">The TA is a paired skeletal muscle that is innervated by the recurrent laryngeal nerve, which contributes to </w:t>
      </w:r>
      <w:r w:rsidR="00BA38A8">
        <w:t xml:space="preserve">the </w:t>
      </w:r>
      <w:r w:rsidRPr="000F1658">
        <w:t>anterior</w:t>
      </w:r>
      <w:r w:rsidR="00BA38A8">
        <w:t>-</w:t>
      </w:r>
      <w:r w:rsidRPr="000F1658">
        <w:t>posterior shortening of the VFs, thereby decreasing tension in the covering layers and subsequently reducing speaking pitch.</w:t>
      </w:r>
      <w:r w:rsidRPr="000F1658">
        <w:fldChar w:fldCharType="begin"/>
      </w:r>
      <w:r>
        <w:instrText xml:space="preserve"> ADDIN ZOTERO_ITEM CSL_CITATION {"citationID":"SJPOQelI","properties":{"formattedCitation":"\\super 47\\nosupersub{}","plainCitation":"47","noteIndex":0},"citationItems":[{"id":2504,"uris":["http://zotero.org/users/6281125/items/N6AF4HPI"],"uri":["http://zotero.org/users/6281125/items/N6AF4HPI"],"itemData":{"id":2504,"type":"article-journal","container-title":"Folia phoniatrica et logopaedica","ISSN":"1021-7762","issue":"2","journalAbbreviation":"Folia phoniatrica et logopaedica","note":"publisher: Karger Publishers","page":"89-94","title":"Morphological structure of the vocal cord as a vibrator and its variations","volume":"26","author":[{"family":"Hirano","given":"Minoru"}],"issued":{"date-parts":[["1974"]]}}}],"schema":"https://github.com/citation-style-language/schema/raw/master/csl-citation.json"} </w:instrText>
      </w:r>
      <w:r w:rsidRPr="000F1658">
        <w:fldChar w:fldCharType="separate"/>
      </w:r>
      <w:r w:rsidRPr="007B4ACD">
        <w:rPr>
          <w:vertAlign w:val="superscript"/>
        </w:rPr>
        <w:t>47</w:t>
      </w:r>
      <w:r w:rsidRPr="000F1658">
        <w:fldChar w:fldCharType="end"/>
      </w:r>
      <w:r w:rsidRPr="000F1658">
        <w:t xml:space="preserve"> Although an area of debate, it is speculated that different parts of the TA are responsible for different functions. For example, some researchers believe that the TA is separated into two parts; the lateral portion, called the muscularis, and the medial portion, called the vocalis. The muscularis consists of primarily type II fast</w:t>
      </w:r>
      <w:r w:rsidR="00BA38A8">
        <w:t>-</w:t>
      </w:r>
      <w:r w:rsidRPr="000F1658">
        <w:t>twitch muscle fibers and is reported to have roles in VF adduction and airway protection. The vocalis consists primarily of type I slow twitch muscle fibers</w:t>
      </w:r>
      <w:r w:rsidRPr="000F1658">
        <w:fldChar w:fldCharType="begin"/>
      </w:r>
      <w:r>
        <w:instrText xml:space="preserve"> ADDIN ZOTERO_ITEM CSL_CITATION {"citationID":"Gh99kLFD","properties":{"formattedCitation":"\\super 48,49\\nosupersub{}","plainCitation":"48,49","noteIndex":0},"citationItems":[{"id":2506,"uris":["http://zotero.org/users/6281125/items/IVZM9X9F"],"uri":["http://zotero.org/users/6281125/items/IVZM9X9F"],"itemData":{"id":2506,"type":"article-journal","container-title":"Trans Am Laryngol Assoc","journalAbbreviation":"Trans Am Laryngol Assoc","page":"153","title":"Phonatory specializations of human laryngeal muscles","volume":"115","author":[{"family":"Sanders","given":"I"},{"family":"Wu","given":"BL"},{"family":"Biller","given":"HF"}],"issued":{"date-parts":[["1994"]]}}},{"id":2510,"uris":["http://zotero.org/users/6281125/items/ZFDZWZ8C"],"uri":["http://zotero.org/users/6281125/items/ZFDZWZ8C"],"itemData":{"id":2510,"type":"article-journal","container-title":"Journal of Voice","ISSN":"0892-1997","issue":"1","journalAbbreviation":"Journal of Voice","note":"publisher: Elsevier","page":"7-16","title":"Muscle spindles are concentrated in the superior vocalis subcompartment of the human thyroarytenoid muscle","volume":"12","author":[{"family":"Sanders","given":"Ira"},{"family":"Han","given":"Yingshi"},{"family":"Wang","given":"Jun"},{"family":"Biller","given":"Hugh"}],"issued":{"date-parts":[["1998"]]}}}],"schema":"https://github.com/citation-style-language/schema/raw/master/csl-citation.json"} </w:instrText>
      </w:r>
      <w:r w:rsidRPr="000F1658">
        <w:fldChar w:fldCharType="separate"/>
      </w:r>
      <w:r w:rsidRPr="007B4ACD">
        <w:rPr>
          <w:vertAlign w:val="superscript"/>
        </w:rPr>
        <w:t>48,49</w:t>
      </w:r>
      <w:r w:rsidRPr="000F1658">
        <w:fldChar w:fldCharType="end"/>
      </w:r>
      <w:r w:rsidRPr="000F1658">
        <w:t xml:space="preserve"> and is believed to be the primary portion </w:t>
      </w:r>
      <w:r w:rsidR="00DD37DF">
        <w:t>involved in</w:t>
      </w:r>
      <w:r w:rsidRPr="000F1658">
        <w:t xml:space="preserve"> modulating speaking pitch.</w:t>
      </w:r>
      <w:r w:rsidRPr="000F1658">
        <w:fldChar w:fldCharType="begin"/>
      </w:r>
      <w:r w:rsidR="00E940BB">
        <w:instrText xml:space="preserve"> ADDIN ZOTERO_ITEM CSL_CITATION {"citationID":"yufumnRK","properties":{"formattedCitation":"\\super 49,50\\nosupersub{}","plainCitation":"49,50","noteIndex":0},"citationItems":[{"id":2510,"uris":["http://zotero.org/users/6281125/items/ZFDZWZ8C"],"uri":["http://zotero.org/users/6281125/items/ZFDZWZ8C"],"itemData":{"id":2510,"type":"article-journal","container-title":"Journal of Voice","ISSN":"0892-1997","issue":"1","journalAbbreviation":"Journal of Voice","note":"publisher: Elsevier","page":"7-16","title":"Muscle spindles are concentrated in the superior vocalis subcompartment of the human thyroarytenoid muscle","volume":"12","author":[{"family":"Sanders","given":"Ira"},{"family":"Han","given":"Yingshi"},{"family":"Wang","given":"Jun"},{"family":"Biller","given":"Hugh"}],"issued":{"date-parts":[["1998"]]}}},{"id":703,"uris":["http://zotero.org/users/6281125/items/HSP47B67"],"uri":["http://zotero.org/users/6281125/items/HSP47B67"],"itemData":{"id":703,"type":"article-journal","container-title":"Revista da Sociedade Brasileira de Fonoaudiologia","DOI":"10.1590/S1516-80342011000300020","ISSN":"1516-8034","issue":"3","language":"en","page":"362-369","source":"SciELO","title":"Thyroarytenoid muscle and vocal fry: a literature review","title-short":"Thyroarytenoid muscle and vocal fry","volume":"16","author":[{"family":"Cielo","given":"Carla Aparecida"},{"family":"Elias","given":"Vanessa Santos"},{"family":"Brum","given":"Débora Meurer"},{"family":"Ferreira","given":"Fernanda Vargas"}],"issued":{"date-parts":[["2011",9]]}}}],"schema":"https://github.com/citation-style-language/schema/raw/master/csl-citation.json"} </w:instrText>
      </w:r>
      <w:r w:rsidRPr="000F1658">
        <w:fldChar w:fldCharType="separate"/>
      </w:r>
      <w:r w:rsidR="00E940BB" w:rsidRPr="00E940BB">
        <w:rPr>
          <w:vertAlign w:val="superscript"/>
        </w:rPr>
        <w:t>49,50</w:t>
      </w:r>
      <w:r w:rsidRPr="000F1658">
        <w:fldChar w:fldCharType="end"/>
      </w:r>
    </w:p>
    <w:p w14:paraId="4D6EFD6D" w14:textId="77777777" w:rsidR="007B4ACD" w:rsidRPr="007B4ACD" w:rsidRDefault="007B4ACD" w:rsidP="007B4ACD"/>
    <w:p w14:paraId="4EA057B8" w14:textId="2959D8D6" w:rsidR="00B917F0" w:rsidRDefault="007E167D" w:rsidP="00A7555C">
      <w:pPr>
        <w:pStyle w:val="Heading2"/>
      </w:pPr>
      <w:bookmarkStart w:id="16" w:name="_Toc88218508"/>
      <w:bookmarkEnd w:id="12"/>
      <w:bookmarkEnd w:id="13"/>
      <w:bookmarkEnd w:id="14"/>
      <w:r>
        <w:t>Physiology of Voice Production</w:t>
      </w:r>
      <w:bookmarkEnd w:id="16"/>
      <w:r>
        <w:t xml:space="preserve"> </w:t>
      </w:r>
    </w:p>
    <w:p w14:paraId="61DAD58A" w14:textId="77777777" w:rsidR="002D7B7F" w:rsidRPr="00401DA5" w:rsidRDefault="002D7B7F" w:rsidP="002D7B7F">
      <w:r w:rsidRPr="00401DA5">
        <w:t>The seemingly effortless production of voice is a complex physiological activity involving the coordinated activation of the respiration, phonation, and resonance systems. In order to produce adequate voice, it is necessary for these systems to work seamlessly in unison. The biomechanics of self-sustained VF vibration is the product of the composition of the VF layers and various aerodynamic principles.</w:t>
      </w:r>
    </w:p>
    <w:p w14:paraId="233EEB4C" w14:textId="22B7CCAA" w:rsidR="002D7B7F" w:rsidRPr="00401DA5" w:rsidRDefault="002D7B7F" w:rsidP="002D7B7F">
      <w:r w:rsidRPr="00401DA5">
        <w:t xml:space="preserve">Although the VF contains five unique layers as discussed in the previous section, it is often </w:t>
      </w:r>
      <w:r w:rsidRPr="00401DA5">
        <w:rPr>
          <w:color w:val="000000"/>
          <w:shd w:val="clear" w:color="auto" w:fill="FFFFFF"/>
        </w:rPr>
        <w:t>biomechanically</w:t>
      </w:r>
      <w:r w:rsidRPr="00401DA5">
        <w:t xml:space="preserve"> simplified into two layers: the body - consisting of the stiffer TA and vocal ligament which remains</w:t>
      </w:r>
      <w:r w:rsidR="008A6ED8">
        <w:t>,</w:t>
      </w:r>
      <w:r w:rsidRPr="00401DA5">
        <w:t xml:space="preserve"> for the most</w:t>
      </w:r>
      <w:r w:rsidR="008A6ED8">
        <w:t xml:space="preserve"> part,</w:t>
      </w:r>
      <w:r w:rsidRPr="00401DA5">
        <w:t xml:space="preserve"> stationary during phonation,</w:t>
      </w:r>
      <w:r w:rsidR="00354DBA">
        <w:t xml:space="preserve"> - </w:t>
      </w:r>
      <w:r w:rsidRPr="00401DA5">
        <w:t xml:space="preserve">and the cover - consisting of the more pliable superficial LP and SSE, which moves separately over “the body” during phonation. The difference in the biomechanical properties and vibratory characteristics between the cover and body give rise to the characteristic vertical phase difference (known as the mucosal wave) during VF opening and closing, which is necessary for self-sustained </w:t>
      </w:r>
      <w:r w:rsidR="00354DBA">
        <w:t>VF</w:t>
      </w:r>
      <w:r w:rsidRPr="00401DA5">
        <w:t xml:space="preserve"> vibration.</w:t>
      </w:r>
      <w:r w:rsidRPr="00401DA5">
        <w:fldChar w:fldCharType="begin"/>
      </w:r>
      <w:r w:rsidR="00E940BB">
        <w:instrText xml:space="preserve"> ADDIN ZOTERO_ITEM CSL_CITATION {"citationID":"ZX441FCS","properties":{"formattedCitation":"\\super 51\\nosupersub{}","plainCitation":"51","noteIndex":0},"citationItems":[{"id":586,"uris":["http://zotero.org/users/6281125/items/7WTTPCB9"],"uri":["http://zotero.org/users/6281125/items/7WTTPCB9"],"itemData":{"id":586,"type":"article-journal","container-title":"Folia Phoniatr (Basel).","ISSN":"0015-5705","page":"89–4","title":"Morfological structure of the vocal fold as a vibrator and its variations.","volume":"26","author":[{"family":"Hirano","given":"M"}],"issued":{"date-parts":[["1974"]]}}}],"schema":"https://github.com/citation-style-language/schema/raw/master/csl-citation.json"} </w:instrText>
      </w:r>
      <w:r w:rsidRPr="00401DA5">
        <w:fldChar w:fldCharType="separate"/>
      </w:r>
      <w:r w:rsidR="00E940BB" w:rsidRPr="00E940BB">
        <w:rPr>
          <w:vertAlign w:val="superscript"/>
        </w:rPr>
        <w:t>51</w:t>
      </w:r>
      <w:r w:rsidRPr="00401DA5">
        <w:fldChar w:fldCharType="end"/>
      </w:r>
      <w:r w:rsidRPr="00401DA5">
        <w:t xml:space="preserve"> As previously eluded to, the composition of </w:t>
      </w:r>
      <w:r w:rsidR="00354DBA">
        <w:t>c</w:t>
      </w:r>
      <w:r w:rsidRPr="00401DA5">
        <w:t xml:space="preserve">ollagen and </w:t>
      </w:r>
      <w:r w:rsidR="00354DBA">
        <w:t>el</w:t>
      </w:r>
      <w:r w:rsidRPr="00401DA5">
        <w:t>astin fibers in each layer differs to lend the biomechanical properties described.</w:t>
      </w:r>
    </w:p>
    <w:p w14:paraId="3FD5861F" w14:textId="2E3C08C1" w:rsidR="002D7B7F" w:rsidRPr="00401DA5" w:rsidRDefault="002D7B7F" w:rsidP="002D7B7F">
      <w:r w:rsidRPr="00401DA5">
        <w:t>Activation of the lateral cricoarytenoid, interarytenoid, and the TA muscles adduct the VFs to meet at the laryngeal midline. While approximated, the VFs obstruct airflow from the lungs, allowing for the buildup of subglottal pressure</w:t>
      </w:r>
      <w:r w:rsidR="00816A49">
        <w:t xml:space="preserve"> (Figure 3A</w:t>
      </w:r>
      <w:r w:rsidR="003C49BB">
        <w:t>)</w:t>
      </w:r>
      <w:r w:rsidRPr="00401DA5">
        <w:t>. This accumulation of subglottal air pressure eventually overcomes the resistance of the folds (i.e. phonation threshold pressure), separating the VFs in an inferior to superior fashion to create a convergent glottal shape (</w:t>
      </w:r>
      <w:r w:rsidR="00C42DDA">
        <w:t>Figure 3</w:t>
      </w:r>
      <w:r w:rsidR="00816A49">
        <w:t>B</w:t>
      </w:r>
      <w:r w:rsidRPr="00401DA5">
        <w:t>). The lateral opening of the VFs continues until the natural elasticity of the tissue draws the VFs inward in a divergent shape</w:t>
      </w:r>
      <w:r w:rsidR="00CB648B">
        <w:t>.</w:t>
      </w:r>
      <w:r w:rsidRPr="00401DA5">
        <w:t xml:space="preserve"> Additionally, the divergent glottal geometry results in airflow separation at the opening duct, producing intraglottal vortices</w:t>
      </w:r>
      <w:r w:rsidR="00331155">
        <w:t xml:space="preserve"> </w:t>
      </w:r>
      <w:r w:rsidR="00331155" w:rsidRPr="00401DA5">
        <w:t>(</w:t>
      </w:r>
      <w:r w:rsidR="00331155">
        <w:t>Figure 3C</w:t>
      </w:r>
      <w:r w:rsidR="00331155" w:rsidRPr="00401DA5">
        <w:t>)</w:t>
      </w:r>
      <w:r w:rsidRPr="00401DA5">
        <w:t>.</w:t>
      </w:r>
      <w:r w:rsidRPr="00401DA5">
        <w:fldChar w:fldCharType="begin"/>
      </w:r>
      <w:r w:rsidR="00E940BB">
        <w:instrText xml:space="preserve"> ADDIN ZOTERO_ITEM CSL_CITATION {"citationID":"ke96ezfU","properties":{"formattedCitation":"\\super 52\\nosupersub{}","plainCitation":"52","noteIndex":0},"citationItems":[{"id":2529,"uris":["http://zotero.org/users/6281125/items/G3LM9KGU"],"uri":["http://zotero.org/users/6281125/items/G3LM9KGU"],"itemData":{"id":2529,"type":"article-journal","container-title":"Status and Progress Report, National Center for Voice and Speech","journalAbbreviation":"Status and Progress Report, National Center for Voice and Speech","note":"publisher: Citeseer","page":"9-14","title":"Combined simulation of two dimensional airflow and vocal fold vibration","volume":"8","author":[{"family":"Alipour","given":"Fariborz"},{"family":"Titze","given":"I"}],"issued":{"date-parts":[["1995"]]}}}],"schema":"https://github.com/citation-style-language/schema/raw/master/csl-citation.json"} </w:instrText>
      </w:r>
      <w:r w:rsidRPr="00401DA5">
        <w:fldChar w:fldCharType="separate"/>
      </w:r>
      <w:r w:rsidR="00E940BB" w:rsidRPr="00E940BB">
        <w:rPr>
          <w:vertAlign w:val="superscript"/>
        </w:rPr>
        <w:t>52</w:t>
      </w:r>
      <w:r w:rsidRPr="00401DA5">
        <w:fldChar w:fldCharType="end"/>
      </w:r>
      <w:r w:rsidRPr="00401DA5">
        <w:t xml:space="preserve"> These vortices are believed to result in negative pressure that pull</w:t>
      </w:r>
      <w:r w:rsidR="00BA38A8">
        <w:t>s</w:t>
      </w:r>
      <w:r w:rsidRPr="00401DA5">
        <w:t xml:space="preserve"> the VFs to midline again, decreasing the airflow velocity and allowing for subglottal pressure to accumulate to repeat the vibratory cycle and sustain vibration for voice</w:t>
      </w:r>
      <w:r w:rsidR="00331155">
        <w:t xml:space="preserve"> (Figure 3D)</w:t>
      </w:r>
      <w:r w:rsidRPr="00401DA5">
        <w:t>.</w:t>
      </w:r>
      <w:r w:rsidRPr="00401DA5">
        <w:fldChar w:fldCharType="begin"/>
      </w:r>
      <w:r w:rsidR="00E940BB">
        <w:instrText xml:space="preserve"> ADDIN ZOTERO_ITEM CSL_CITATION {"citationID":"dxDvu6ut","properties":{"formattedCitation":"\\super 53\\nosupersub{}","plainCitation":"53","noteIndex":0},"citationItems":[{"id":2530,"uris":["http://zotero.org/users/6281125/items/SPQYNPVN"],"uri":["http://zotero.org/users/6281125/items/SPQYNPVN"],"itemData":{"id":2530,"type":"article-journal","container-title":"The Journal of the Acoustical Society of America","ISSN":"0001-4966","issue":"1","journalAbbreviation":"The Journal of the Acoustical Society of America","note":"publisher: Acoustical Society of America","page":"380-388","title":"Intraglottal geometry and velocity measurements in canine larynges","volume":"135","author":[{"family":"Oren","given":"Liran"},{"family":"Khosla","given":"Sid"},{"family":"Gutmark","given":"Ephraim"}],"issued":{"date-parts":[["2014"]]}}}],"schema":"https://github.com/citation-style-language/schema/raw/master/csl-citation.json"} </w:instrText>
      </w:r>
      <w:r w:rsidRPr="00401DA5">
        <w:fldChar w:fldCharType="separate"/>
      </w:r>
      <w:r w:rsidR="00E940BB" w:rsidRPr="00E940BB">
        <w:rPr>
          <w:vertAlign w:val="superscript"/>
        </w:rPr>
        <w:t>53</w:t>
      </w:r>
      <w:r w:rsidRPr="00401DA5">
        <w:fldChar w:fldCharType="end"/>
      </w:r>
      <w:r w:rsidRPr="00401DA5">
        <w:t xml:space="preserve"> </w:t>
      </w:r>
    </w:p>
    <w:p w14:paraId="78521624" w14:textId="11AE2C01" w:rsidR="00B917F0" w:rsidRDefault="00B917F0" w:rsidP="00D916E2"/>
    <w:p w14:paraId="56836A90" w14:textId="1518314A" w:rsidR="00ED7410" w:rsidRDefault="001A5E03" w:rsidP="00ED7410">
      <w:pPr>
        <w:keepNext/>
        <w:spacing w:line="360" w:lineRule="auto"/>
        <w:ind w:firstLine="0"/>
        <w:jc w:val="center"/>
      </w:pPr>
      <w:r>
        <w:rPr>
          <w:noProof/>
        </w:rPr>
        <w:drawing>
          <wp:inline distT="0" distB="0" distL="0" distR="0" wp14:anchorId="681D8F7C" wp14:editId="7D4847BA">
            <wp:extent cx="5713894" cy="2327662"/>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19227" cy="2329834"/>
                    </a:xfrm>
                    <a:prstGeom prst="rect">
                      <a:avLst/>
                    </a:prstGeom>
                    <a:noFill/>
                    <a:ln>
                      <a:noFill/>
                    </a:ln>
                  </pic:spPr>
                </pic:pic>
              </a:graphicData>
            </a:graphic>
          </wp:inline>
        </w:drawing>
      </w:r>
    </w:p>
    <w:p w14:paraId="278F9D40" w14:textId="3BDD23A0" w:rsidR="001C7AFC" w:rsidRDefault="00ED7410" w:rsidP="00331155">
      <w:pPr>
        <w:pStyle w:val="Caption"/>
      </w:pPr>
      <w:bookmarkStart w:id="17" w:name="_Toc88218596"/>
      <w:r>
        <w:t xml:space="preserve">Figure </w:t>
      </w:r>
      <w:r>
        <w:fldChar w:fldCharType="begin"/>
      </w:r>
      <w:r>
        <w:instrText xml:space="preserve"> SEQ Figure \* ARABIC </w:instrText>
      </w:r>
      <w:r>
        <w:fldChar w:fldCharType="separate"/>
      </w:r>
      <w:r w:rsidR="00CD04FC">
        <w:t>3</w:t>
      </w:r>
      <w:r>
        <w:fldChar w:fldCharType="end"/>
      </w:r>
      <w:r>
        <w:t>.</w:t>
      </w:r>
      <w:r w:rsidR="007A5A62">
        <w:t xml:space="preserve"> </w:t>
      </w:r>
      <w:r w:rsidR="00A97E5B">
        <w:t xml:space="preserve">Cycle of </w:t>
      </w:r>
      <w:r w:rsidR="00826204">
        <w:t>p</w:t>
      </w:r>
      <w:r w:rsidR="00A97E5B">
        <w:t>honation</w:t>
      </w:r>
      <w:bookmarkEnd w:id="17"/>
      <w:r w:rsidR="00A97E5B">
        <w:t xml:space="preserve"> </w:t>
      </w:r>
      <w:r w:rsidR="007A5A62">
        <w:t xml:space="preserve"> </w:t>
      </w:r>
    </w:p>
    <w:p w14:paraId="0A141887" w14:textId="05FAFF5F" w:rsidR="00B917F0" w:rsidRDefault="003A3852" w:rsidP="00CA4246">
      <w:pPr>
        <w:pStyle w:val="Heading2"/>
      </w:pPr>
      <w:bookmarkStart w:id="18" w:name="_Toc88218509"/>
      <w:r>
        <w:t xml:space="preserve">Vocal Fold </w:t>
      </w:r>
      <w:r w:rsidR="005D29F5">
        <w:t>Injury</w:t>
      </w:r>
      <w:bookmarkEnd w:id="18"/>
      <w:r w:rsidR="005D29F5">
        <w:t xml:space="preserve">  </w:t>
      </w:r>
    </w:p>
    <w:p w14:paraId="77032D58" w14:textId="24E9740A" w:rsidR="00142372" w:rsidRPr="00E21844" w:rsidRDefault="00591624" w:rsidP="00E21844">
      <w:pPr>
        <w:pBdr>
          <w:top w:val="nil"/>
          <w:left w:val="nil"/>
          <w:bottom w:val="nil"/>
          <w:right w:val="nil"/>
          <w:between w:val="nil"/>
        </w:pBdr>
        <w:ind w:right="-15"/>
        <w:rPr>
          <w:color w:val="000000"/>
        </w:rPr>
      </w:pPr>
      <w:r w:rsidRPr="000D12C7">
        <w:t xml:space="preserve">The </w:t>
      </w:r>
      <w:r>
        <w:t>VFs</w:t>
      </w:r>
      <w:r w:rsidRPr="000D12C7">
        <w:t xml:space="preserve"> have the potential to be exposed to a variety of injurious stimuli including vibratory, surgical, and chemical trauma that often result</w:t>
      </w:r>
      <w:r>
        <w:t xml:space="preserve">s </w:t>
      </w:r>
      <w:r w:rsidRPr="000D12C7">
        <w:t xml:space="preserve">in inflammation, lesions, and scarring of </w:t>
      </w:r>
      <w:r>
        <w:t xml:space="preserve">the </w:t>
      </w:r>
      <w:r w:rsidRPr="000D12C7">
        <w:t xml:space="preserve">mucosa and underlying tissue. These </w:t>
      </w:r>
      <w:r>
        <w:t>injuries</w:t>
      </w:r>
      <w:r w:rsidRPr="000D12C7">
        <w:t xml:space="preserve"> often change the structure of the </w:t>
      </w:r>
      <w:r>
        <w:t>SSE</w:t>
      </w:r>
      <w:r w:rsidRPr="000D12C7">
        <w:t xml:space="preserve"> and LP</w:t>
      </w:r>
      <w:r>
        <w:t>,</w:t>
      </w:r>
      <w:r w:rsidRPr="000D12C7">
        <w:t xml:space="preserve"> resulting in changes </w:t>
      </w:r>
      <w:r>
        <w:t>in</w:t>
      </w:r>
      <w:r w:rsidRPr="000D12C7">
        <w:t xml:space="preserve"> the biomechanical function of the </w:t>
      </w:r>
      <w:r>
        <w:t xml:space="preserve">VFs which can </w:t>
      </w:r>
      <w:r w:rsidRPr="000D12C7">
        <w:t xml:space="preserve">adversely </w:t>
      </w:r>
      <w:r>
        <w:t>a</w:t>
      </w:r>
      <w:r w:rsidRPr="000D12C7">
        <w:t>ffect healthy voice production.</w:t>
      </w:r>
      <w:r w:rsidRPr="000D12C7">
        <w:rPr>
          <w:vertAlign w:val="superscript"/>
        </w:rPr>
        <w:fldChar w:fldCharType="begin" w:fldLock="1"/>
      </w:r>
      <w:r w:rsidR="00E940BB">
        <w:rPr>
          <w:vertAlign w:val="superscript"/>
        </w:rPr>
        <w:instrText xml:space="preserve"> ADDIN ZOTERO_ITEM CSL_CITATION {"citationID":"a1bv5jjm4aq","properties":{"formattedCitation":"\\super 54\\uc0\\u8211{}57\\nosupersub{}","plainCitation":"54–57","noteIndex":0},"citationItems":[{"id":217,"uris":["http://zotero.org/users/6281125/items/JRLDHLH8"],"uri":["http://zotero.org/users/6281125/items/JRLDHLH8"],"itemData":{"id":217,"type":"article-journal","abstract":"Although acute laryngitis is common, it is often managed by primary physicians. Therefore, video images documenting its signs are scarce. This series includes 7 professional voice users who previously had undergone baseline strobovideolaryngscopy (SVL) during routine examinations or during evaluations for other complaints and who returned with acute laryngitis. Sequential SVL showed not only the expected erythema, edema, cough, and dysphonia, but also new masses in 5 of the 7 subjects. All the signs returned to baseline. This series is reported to highlight the reversible structural changes that can be expected in patients with acute laryngitis and the value of conservative management.","container-title":"Ear, Nose &amp; Throat Journal","DOI":"10.1177/014556131809700920","ISSN":"0145-5613","issue":"9","note":"PMID: 30273430","page":"306–313","title":"Acute infectious laryngitis: A case series","volume":"97","author":[{"family":"Jaworek","given":"Aaron J."},{"family":"Earasi","given":"Kranthi"},{"family":"Lyons","given":"Karen M."},{"family":"Daggumati","given":"Srihari"},{"family":"Hu","given":"Amanda"},{"family":"Sataloff","given":"Robert T."}],"issued":{"date-parts":[["2018",9]]}}},{"id":214,"uris":["http://zotero.org/users/6281125/items/PTCAQBZB"],"uri":["http://zotero.org/users/6281125/items/PTCAQBZB"],"itemData":{"id":214,"type":"article-journal","abstract":"The purpose of the present study was to describe the effects ofacute laryngitis on some aerodynamic, acoustic, and perceptual measures. Eleven subjects with diagnosed acute laryngitis due to upper respiratory infection were recorded during a laryngitic episode and 1 week to 10 days after amelioration of the laryngitic condition. Fundamental frequency values, collapsed across the five vowels, were significantly reduced in the laryngitic compared with the normal speaking condition. The decrease in fundamental frequency associated with acute laryngitis suggests an increase in the mass of the vocal folds. In addition, aerodynamic values differed significantly for the laryngitic condition compared with the normal speaking condition, suggesting the presence of laryngeal hypofunction. Perceptual data indicated that speakers in the laryngitic condition were judged to have a hoarse voice when compared with the normal speaking condition.","container-title":"Journal of Voice","DOI":"10.1016/S0892-1997(97)80015-X","ISSN":"0892-1997","issue":"3","page":"356–363","title":"Some aerodynamic and acoustic characteristicsof acute laryngitis","volume":"11","author":[{"family":"Ng","given":"Manwa L."},{"family":"Gilbert","given":"Harvey R."},{"family":"Lerman","given":"Jay W."}],"issued":{"date-parts":[["1997",9]]}}},{"id":9,"uris":["http://zotero.org/users/6281125/items/LPXWJAXD"],"uri":["http://zotero.org/users/6281125/items/LPXWJAXD"],"itemData":{"id":9,"type":"article-journal","abstract":"Sixty-two patients with persistent or recurrent dysphonia after laryngeal surgery underwent interdisciplinary voice evaluation, laryngostroboscopy, and objective measurements of vocal function. The causes of persistent dysphonia were attributed to vocal fold scarring (n = 22), residual mass lesion (n = 8), residual inflammation (n = 13), recurrent mass (n = 4), and hyperfunctional voice disorder (n = 7). Laryngoscopy often showed excessive ventricular compression and anterior-to-posterior laryngeal compression. Ventricular dysphonia was often a compensatory gesture in response to poorly mobile vocal fold membranes. Stroboscopy was able to document a number of abnormalities which included abnormalities of laryngeal configuration, vibratory asymmetry, reduction of amplitude, and mucosal wave. Using a diversified approach consisting of medical therapy, voice therapy, and repeat surgery, better vocal function was able to be restored in the majority of patients. An interdisciplinary approach to the dysphonic patient after laryngeal surgery was most useful in defining the pathology and refining a treatment rehabilitation program.","container-title":"Laryngoscope","DOI":"10.1288/00005537-199409000-00007","ISSN":"0023-852X","page":"1084-1091","title":"Diagnosis and treatment of persistent dysphonia after laryngeal surgery: A retrospective analysis of 62 patients","volume":"104","author":[{"family":"Woo","given":"P."},{"family":"Casper","given":"J."},{"family":"Colton","given":"R."},{"family":"Brewer","given":"D."}],"issued":{"date-parts":[["1994"]]}}},{"id":2520,"uris":["http://zotero.org/users/6281125/items/7FH84XBE"],"uri":["http://zotero.org/users/6281125/items/7FH84XBE"],"itemData":{"id":2520,"type":"article-journal","abstract":"Successful treatment of bilateral vocal fold lesions depends on the accuracy of the diagnosis. For example, the preferred treatment for vocal fold nodules is voice therapy; in contrast, treatment for a unilateral vocal fold lesion with a contralateral reactive vocal fold lesion (UVFL/RL) usually involves phonosurgery and voice therapy. Differentiation between vocal fold nodules and a UVFL/RL is often challenging. The purpose of this study was to facilitate diagnostic accuracy and improve treatment for patients with bilateral vocal fold lesions by attempting to identify distinct features of patients with either vocal fold nodules or a UVFL/RL with acoustic, aerodynamic, stroboscopic, and patient self-perception measures. The objective voice analysis, Voice Handicap Index, and laryngovideostroboscopic examinations of 85 patients with bilateral vocal fold lesions were reviewed. The results indicated that the patients with a UVFL/RL presented a diagnostic profile that was significantly different from that of patients with vocal fold nodules. Statistically significant differences were found for 1) symmetry of vocal fold vibration, 2) amplitude perturbations, 3) estimated subglottic pressure, and 4) Voice Handicap Index. These results suggest that a composite assessment of acoustic, aerodynamic, and videostroboscopic phonatory features facilitates differentiation between patients with vocal fold nodules and those with a UVFL/RL. The improved diagnostic accuracy afforded by multiparametric assessment provides a comprehensive framework for the treatment of these two distinct vocal fold disorders.","container-title":"Annals of Otology, Rhinology &amp; Laryngology","DOI":"10.1177/000348940010900907","ISSN":"0003-4894","issue":"9","journalAbbreviation":"Ann Otol Rhinol Laryngol","note":"publisher: SAGE Publications Inc","page":"823-828","source":"SAGE Journals","title":"Acoustic, Aerodynamic, and Videostroboscopic Features of Bilateral Vocal Fold Lesions","volume":"109","author":[{"family":"Rosen","given":"Clark A."},{"family":"Lombard","given":"Lori E."},{"family":"Murry","given":"Thomas"}],"issued":{"date-parts":[["2000",9,1]]}}}],"schema":"https://github.com/citation-style-language/schema/raw/master/csl-citation.json"} </w:instrText>
      </w:r>
      <w:r w:rsidRPr="000D12C7">
        <w:rPr>
          <w:vertAlign w:val="superscript"/>
        </w:rPr>
        <w:fldChar w:fldCharType="separate"/>
      </w:r>
      <w:r w:rsidR="00E940BB" w:rsidRPr="00E940BB">
        <w:rPr>
          <w:vertAlign w:val="superscript"/>
        </w:rPr>
        <w:t>54–57</w:t>
      </w:r>
      <w:r w:rsidRPr="000D12C7">
        <w:rPr>
          <w:vertAlign w:val="superscript"/>
        </w:rPr>
        <w:fldChar w:fldCharType="end"/>
      </w:r>
      <w:r w:rsidRPr="000D12C7">
        <w:t xml:space="preserve"> </w:t>
      </w:r>
      <w:r w:rsidR="0041360F">
        <w:t>Vocal fold</w:t>
      </w:r>
      <w:r>
        <w:t xml:space="preserve"> </w:t>
      </w:r>
      <w:r w:rsidRPr="000D12C7">
        <w:t xml:space="preserve">inflammation can </w:t>
      </w:r>
      <w:r>
        <w:t xml:space="preserve">result from a </w:t>
      </w:r>
      <w:r w:rsidRPr="000D12C7">
        <w:t>variety of different conditions including infections, laryngopharyngeal reflux</w:t>
      </w:r>
      <w:r>
        <w:t>, systemic inflammatory diseases,</w:t>
      </w:r>
      <w:r w:rsidRPr="000D12C7">
        <w:t xml:space="preserve"> </w:t>
      </w:r>
      <w:r>
        <w:t xml:space="preserve">and </w:t>
      </w:r>
      <w:r w:rsidRPr="000D12C7">
        <w:t xml:space="preserve">mechanical </w:t>
      </w:r>
      <w:r>
        <w:t>VF</w:t>
      </w:r>
      <w:r w:rsidRPr="000D12C7">
        <w:t xml:space="preserve"> injuries.</w:t>
      </w:r>
      <w:r>
        <w:t xml:space="preserve"> </w:t>
      </w:r>
      <w:r w:rsidRPr="0083326D">
        <w:t xml:space="preserve">A heightened laryngeal inflammatory response may </w:t>
      </w:r>
      <w:r>
        <w:t>exacerbate</w:t>
      </w:r>
      <w:r w:rsidRPr="0083326D">
        <w:t xml:space="preserve"> scarring,</w:t>
      </w:r>
      <w:r>
        <w:fldChar w:fldCharType="begin"/>
      </w:r>
      <w:r w:rsidR="00E940BB">
        <w:instrText xml:space="preserve"> ADDIN ZOTERO_ITEM CSL_CITATION {"citationID":"5t33E8yY","properties":{"formattedCitation":"\\super 58\\nosupersub{}","plainCitation":"58","noteIndex":0},"citationItems":[{"id":2512,"uris":["http://zotero.org/users/6281125/items/BPRGQ2KQ"],"uri":["http://zotero.org/users/6281125/items/BPRGQ2KQ"],"itemData":{"id":2512,"type":"article-journal","container-title":"Plastic and aesthetic research","journalAbbreviation":"Plastic and aesthetic research","note":"publisher: NIH Public Access","title":"Inflammation as an orchestrator of cutaneous scar formation: a review of the literature","volume":"7","author":[{"family":"Wilgus","given":"Traci A"}],"issued":{"date-parts":[["2020"]]}}}],"schema":"https://github.com/citation-style-language/schema/raw/master/csl-citation.json"} </w:instrText>
      </w:r>
      <w:r>
        <w:fldChar w:fldCharType="separate"/>
      </w:r>
      <w:r w:rsidR="00E940BB" w:rsidRPr="00E940BB">
        <w:rPr>
          <w:vertAlign w:val="superscript"/>
        </w:rPr>
        <w:t>58</w:t>
      </w:r>
      <w:r>
        <w:fldChar w:fldCharType="end"/>
      </w:r>
      <w:r w:rsidRPr="0083326D">
        <w:t xml:space="preserve"> which is the leading post-surgical contributor to poor voice quality.</w:t>
      </w:r>
      <w:r w:rsidRPr="0005621F">
        <w:fldChar w:fldCharType="begin"/>
      </w:r>
      <w:r w:rsidR="00E940BB">
        <w:instrText xml:space="preserve"> ADDIN ZOTERO_ITEM CSL_CITATION {"citationID":"a1adra9ga19","properties":{"formattedCitation":"\\super 56\\nosupersub{}","plainCitation":"56","noteIndex":0},"citationItems":[{"id":9,"uris":["http://zotero.org/users/6281125/items/LPXWJAXD"],"uri":["http://zotero.org/users/6281125/items/LPXWJAXD"],"itemData":{"id":9,"type":"article-journal","abstract":"Sixty-two patients with persistent or recurrent dysphonia after laryngeal surgery underwent interdisciplinary voice evaluation, laryngostroboscopy, and objective measurements of vocal function. The causes of persistent dysphonia were attributed to vocal fold scarring (n = 22), residual mass lesion (n = 8), residual inflammation (n = 13), recurrent mass (n = 4), and hyperfunctional voice disorder (n = 7). Laryngoscopy often showed excessive ventricular compression and anterior-to-posterior laryngeal compression. Ventricular dysphonia was often a compensatory gesture in response to poorly mobile vocal fold membranes. Stroboscopy was able to document a number of abnormalities which included abnormalities of laryngeal configuration, vibratory asymmetry, reduction of amplitude, and mucosal wave. Using a diversified approach consisting of medical therapy, voice therapy, and repeat surgery, better vocal function was able to be restored in the majority of patients. An interdisciplinary approach to the dysphonic patient after laryngeal surgery was most useful in defining the pathology and refining a treatment rehabilitation program.","container-title":"Laryngoscope","DOI":"10.1288/00005537-199409000-00007","ISSN":"0023-852X","page":"1084-1091","title":"Diagnosis and treatment of persistent dysphonia after laryngeal surgery: A retrospective analysis of 62 patients","volume":"104","author":[{"family":"Woo","given":"P."},{"family":"Casper","given":"J."},{"family":"Colton","given":"R."},{"family":"Brewer","given":"D."}],"issued":{"date-parts":[["1994"]]}}}],"schema":"https://github.com/citation-style-language/schema/raw/master/csl-citation.json"} </w:instrText>
      </w:r>
      <w:r w:rsidRPr="0005621F">
        <w:fldChar w:fldCharType="separate"/>
      </w:r>
      <w:r w:rsidR="00E940BB" w:rsidRPr="00E940BB">
        <w:rPr>
          <w:vertAlign w:val="superscript"/>
        </w:rPr>
        <w:t>56</w:t>
      </w:r>
      <w:r w:rsidRPr="0005621F">
        <w:fldChar w:fldCharType="end"/>
      </w:r>
    </w:p>
    <w:p w14:paraId="745E44E5" w14:textId="52B1504E" w:rsidR="00591624" w:rsidRDefault="00B90F36" w:rsidP="00C4598B">
      <w:pPr>
        <w:pStyle w:val="Heading3"/>
      </w:pPr>
      <w:bookmarkStart w:id="19" w:name="_Toc88218510"/>
      <w:bookmarkStart w:id="20" w:name="_Toc8115846"/>
      <w:bookmarkStart w:id="21" w:name="_Toc106513536"/>
      <w:bookmarkStart w:id="22" w:name="_Toc106717794"/>
      <w:r>
        <w:t>Causes of VF Injury</w:t>
      </w:r>
      <w:bookmarkEnd w:id="19"/>
      <w:r>
        <w:t xml:space="preserve"> </w:t>
      </w:r>
    </w:p>
    <w:p w14:paraId="1EFAA86A" w14:textId="0A73ADA2" w:rsidR="00F3198C" w:rsidRDefault="00F3198C" w:rsidP="00F3198C">
      <w:pPr>
        <w:pBdr>
          <w:top w:val="nil"/>
          <w:left w:val="nil"/>
          <w:bottom w:val="nil"/>
          <w:right w:val="nil"/>
          <w:between w:val="nil"/>
        </w:pBdr>
        <w:ind w:right="-15"/>
        <w:rPr>
          <w:color w:val="000000"/>
        </w:rPr>
      </w:pPr>
      <w:r w:rsidRPr="000D12C7">
        <w:rPr>
          <w:color w:val="000000"/>
        </w:rPr>
        <w:t>Viral and bacterial infections are common sources of laryngitis</w:t>
      </w:r>
      <w:r>
        <w:rPr>
          <w:color w:val="000000"/>
        </w:rPr>
        <w:t xml:space="preserve"> and </w:t>
      </w:r>
      <w:r w:rsidRPr="000D12C7">
        <w:rPr>
          <w:color w:val="000000"/>
        </w:rPr>
        <w:t>often result in acute laryngotracheobronchitis</w:t>
      </w:r>
      <w:r>
        <w:rPr>
          <w:color w:val="000000"/>
        </w:rPr>
        <w:t>, which</w:t>
      </w:r>
      <w:r w:rsidRPr="000D12C7">
        <w:rPr>
          <w:color w:val="000000"/>
        </w:rPr>
        <w:t xml:space="preserve"> is characterized by inflammation of the subglottis and </w:t>
      </w:r>
      <w:r>
        <w:rPr>
          <w:color w:val="000000"/>
        </w:rPr>
        <w:t>VFs</w:t>
      </w:r>
      <w:r w:rsidRPr="000D12C7">
        <w:rPr>
          <w:color w:val="000000"/>
        </w:rPr>
        <w:t xml:space="preserve"> resulting in a dry barking cough</w:t>
      </w:r>
      <w:r>
        <w:rPr>
          <w:color w:val="000000"/>
        </w:rPr>
        <w:t>,</w:t>
      </w:r>
      <w:r w:rsidRPr="000D12C7">
        <w:rPr>
          <w:color w:val="000000"/>
        </w:rPr>
        <w:t xml:space="preserve"> hoarse voice, and inspiratory stridor.</w:t>
      </w:r>
      <w:r w:rsidRPr="000D12C7">
        <w:rPr>
          <w:color w:val="000000"/>
        </w:rPr>
        <w:fldChar w:fldCharType="begin" w:fldLock="1"/>
      </w:r>
      <w:r w:rsidR="00E1026B">
        <w:rPr>
          <w:color w:val="000000"/>
        </w:rPr>
        <w:instrText xml:space="preserve"> ADDIN ZOTERO_ITEM CSL_CITATION {"citationID":"U7MiqAdD","properties":{"formattedCitation":"\\super 59\\nosupersub{}","plainCitation":"59","noteIndex":0},"citationItems":[{"id":"cN3eXgV6/TkqnBdXw","uris":["http://www.mendeley.com/documents/?uuid=a07f0ab7-a577-3f77-8545-fd98001d4a2a"],"uri":["http://www.mendeley.com/documents/?uuid=a07f0ab7-a577-3f77-8545-fd98001d4a2a"],"itemData":{"DOI":"10.1016/j.otc.2007.11.011","ISSN":"00306665","abstract":"Inflammatory processes that affect the unified airway can concurrently exert significant influence on the larynx and surrounding mucosal surfaces. Laryngeal inflammation can be present secondary to direct effects of irritants, toxins, and antigens, but can also involve mechanical and infectious effects as well as secondary inflammation from behavioral mechanisms. This review examines laryngeal inflammation in the context of the unified airway and discusses pathophysiologic mechanisms that are central to the development of acute and chronic laryngitis. © 2008 Elsevier Inc. All rights reserved.","author":[{"dropping-particle":"","family":"Dworkin","given":"James Paul","non-dropping-particle":"","parse-names":false,"suffix":""}],"container-title":"Otolaryngologic Clinics of North America","id":"ITEM-1","issue":"2","issued":{"date-parts":[["2008"]]},"page":"419-436","title":"Laryngitis: types, causes, and treatments","type":"article","volume":"41"}}],"schema":"https://github.com/citation-style-language/schema/raw/master/csl-citation.json"} </w:instrText>
      </w:r>
      <w:r w:rsidRPr="000D12C7">
        <w:rPr>
          <w:color w:val="000000"/>
        </w:rPr>
        <w:fldChar w:fldCharType="separate"/>
      </w:r>
      <w:r w:rsidR="00E940BB" w:rsidRPr="00E940BB">
        <w:rPr>
          <w:vertAlign w:val="superscript"/>
        </w:rPr>
        <w:t>59</w:t>
      </w:r>
      <w:r w:rsidRPr="000D12C7">
        <w:rPr>
          <w:color w:val="000000"/>
        </w:rPr>
        <w:fldChar w:fldCharType="end"/>
      </w:r>
      <w:r w:rsidRPr="000D12C7">
        <w:rPr>
          <w:color w:val="000000"/>
        </w:rPr>
        <w:t xml:space="preserve"> Laryngopharyngeal reflux results from the retrograde flow of gastric contents </w:t>
      </w:r>
      <w:r>
        <w:rPr>
          <w:color w:val="000000"/>
        </w:rPr>
        <w:t>in</w:t>
      </w:r>
      <w:r w:rsidRPr="000D12C7">
        <w:rPr>
          <w:color w:val="000000"/>
        </w:rPr>
        <w:t>to the laryngopharynx. This is often caused by insufficient closure of the upper and lower esophageal sphincters and ineffective esophageal peristalsis,</w:t>
      </w:r>
      <w:r w:rsidRPr="000D12C7">
        <w:rPr>
          <w:color w:val="000000"/>
        </w:rPr>
        <w:fldChar w:fldCharType="begin" w:fldLock="1"/>
      </w:r>
      <w:r w:rsidR="00E1026B">
        <w:rPr>
          <w:color w:val="000000"/>
        </w:rPr>
        <w:instrText xml:space="preserve"> ADDIN ZOTERO_ITEM CSL_CITATION {"citationID":"VtAl9f8g","properties":{"formattedCitation":"\\super 60\\nosupersub{}","plainCitation":"60","noteIndex":0},"citationItems":[{"id":"cN3eXgV6/ea6KriyL","uris":["http://www.mendeley.com/documents/?uuid=0069139a-0531-3cfe-914d-82607085d641"],"uri":["http://www.mendeley.com/documents/?uuid=0069139a-0531-3cfe-914d-82607085d641"],"itemData":{"ISSN":"0954-691X","PMID":"10443906","author":[{"dropping-particle":"","family":"Richter","given":"J","non-dropping-particle":"","parse-names":false,"suffix":""}],"container-title":"European journal of gastroenterology &amp; hepatology","id":"ITEM-1","issued":{"date-parts":[["1999"]]},"page":"S3-9","title":"Do we know the cause of reflux disease?","type":"article-journal","volume":"11 Suppl 1"}}],"schema":"https://github.com/citation-style-language/schema/raw/master/csl-citation.json"} </w:instrText>
      </w:r>
      <w:r w:rsidRPr="000D12C7">
        <w:rPr>
          <w:color w:val="000000"/>
        </w:rPr>
        <w:fldChar w:fldCharType="separate"/>
      </w:r>
      <w:r w:rsidR="00E940BB" w:rsidRPr="00E940BB">
        <w:rPr>
          <w:vertAlign w:val="superscript"/>
        </w:rPr>
        <w:t>60</w:t>
      </w:r>
      <w:r w:rsidRPr="000D12C7">
        <w:rPr>
          <w:color w:val="000000"/>
        </w:rPr>
        <w:fldChar w:fldCharType="end"/>
      </w:r>
      <w:r w:rsidRPr="000D12C7">
        <w:rPr>
          <w:color w:val="000000"/>
        </w:rPr>
        <w:t xml:space="preserve"> </w:t>
      </w:r>
      <w:r>
        <w:rPr>
          <w:color w:val="000000"/>
        </w:rPr>
        <w:t>permitting</w:t>
      </w:r>
      <w:r w:rsidRPr="000D12C7">
        <w:rPr>
          <w:color w:val="000000"/>
        </w:rPr>
        <w:t xml:space="preserve"> digestive liquids such as hydrochloric acid and activated pepsin to enter the larynx</w:t>
      </w:r>
      <w:r>
        <w:rPr>
          <w:color w:val="000000"/>
        </w:rPr>
        <w:t xml:space="preserve"> and</w:t>
      </w:r>
      <w:r w:rsidRPr="000D12C7">
        <w:rPr>
          <w:color w:val="000000"/>
        </w:rPr>
        <w:t xml:space="preserve"> irrit</w:t>
      </w:r>
      <w:r>
        <w:rPr>
          <w:color w:val="000000"/>
        </w:rPr>
        <w:t>ate</w:t>
      </w:r>
      <w:r w:rsidRPr="000D12C7">
        <w:rPr>
          <w:color w:val="000000"/>
        </w:rPr>
        <w:t xml:space="preserve"> the delicate </w:t>
      </w:r>
      <w:r>
        <w:rPr>
          <w:color w:val="000000"/>
        </w:rPr>
        <w:t>VF</w:t>
      </w:r>
      <w:r w:rsidRPr="000D12C7">
        <w:rPr>
          <w:color w:val="000000"/>
        </w:rPr>
        <w:t xml:space="preserve"> tissue. </w:t>
      </w:r>
    </w:p>
    <w:p w14:paraId="111BB98F" w14:textId="06F89B4F" w:rsidR="00F3198C" w:rsidRDefault="00F3198C" w:rsidP="00F3198C">
      <w:pPr>
        <w:pBdr>
          <w:top w:val="nil"/>
          <w:left w:val="nil"/>
          <w:bottom w:val="nil"/>
          <w:right w:val="nil"/>
          <w:between w:val="nil"/>
        </w:pBdr>
        <w:ind w:right="-15"/>
      </w:pPr>
      <w:r>
        <w:rPr>
          <w:color w:val="000000"/>
        </w:rPr>
        <w:t>Systemic diseases that present with laryngeal inflammation include relapsing polychondritis, Wegener’s granulomatosis, and rheumatoid arthritis. Polychondritis is rare a disease characterized by recurring episodes of inflammation of cartilaginous tissues. This disease affects the larynx in approximately 50% of cases and can cause dysphonia and airway stenosis.</w:t>
      </w:r>
      <w:r>
        <w:rPr>
          <w:color w:val="000000"/>
        </w:rPr>
        <w:fldChar w:fldCharType="begin" w:fldLock="1"/>
      </w:r>
      <w:r w:rsidR="00E1026B">
        <w:rPr>
          <w:color w:val="000000"/>
        </w:rPr>
        <w:instrText xml:space="preserve"> ADDIN ZOTERO_ITEM CSL_CITATION {"citationID":"ilSVNuYG","properties":{"formattedCitation":"\\super 61\\nosupersub{}","plainCitation":"61","noteIndex":0},"citationItems":[{"id":"cN3eXgV6/xMD6Fwyl","uris":["http://www.mendeley.com/documents/?uuid=856c2fd2-d01a-3433-afa0-acd74245bef3"],"uri":["http://www.mendeley.com/documents/?uuid=856c2fd2-d01a-3433-afa0-acd74245bef3"],"itemData":{"DOI":"10.1016/j.jvoice.2011.07.012","ISSN":"08921997","author":[{"dropping-particle":"","family":"Childs","given":"Lesley F.","non-dropping-particle":"","parse-names":false,"suffix":""},{"dropping-particle":"","family":"Rickert","given":"Scott","non-dropping-particle":"","parse-names":false,"suffix":""},{"dropping-particle":"","family":"Wengerman","given":"Oscar C.","non-dropping-particle":"","parse-names":false,"suffix":""},{"dropping-particle":"","family":"Lebovics","given":"Robert","non-dropping-particle":"","parse-names":false,"suffix":""},{"dropping-particle":"","family":"Blitzer","given":"Andrew","non-dropping-particle":"","parse-names":false,"suffix":""}],"container-title":"Journal of Voice","id":"ITEM-1","issue":"5","issued":{"date-parts":[["2012","9"]]},"page":"587-589","title":"Laryngeal manifestations of relapsingpolychondritis and a novel treatment option","type":"article-journal","volume":"26"}}],"schema":"https://github.com/citation-style-language/schema/raw/master/csl-citation.json"} </w:instrText>
      </w:r>
      <w:r>
        <w:rPr>
          <w:color w:val="000000"/>
        </w:rPr>
        <w:fldChar w:fldCharType="separate"/>
      </w:r>
      <w:r w:rsidR="00E940BB" w:rsidRPr="00E940BB">
        <w:rPr>
          <w:vertAlign w:val="superscript"/>
        </w:rPr>
        <w:t>61</w:t>
      </w:r>
      <w:r>
        <w:rPr>
          <w:color w:val="000000"/>
        </w:rPr>
        <w:fldChar w:fldCharType="end"/>
      </w:r>
      <w:r>
        <w:rPr>
          <w:color w:val="000000"/>
        </w:rPr>
        <w:t xml:space="preserve"> Wegener’s granulomatosis is an autoimmune disease characterized by the systemic inflammation of the blood vessels including the small vessels and arteries in the airway, resulting in strider and subglottic stenosis.</w:t>
      </w:r>
      <w:r>
        <w:rPr>
          <w:color w:val="000000"/>
        </w:rPr>
        <w:fldChar w:fldCharType="begin" w:fldLock="1"/>
      </w:r>
      <w:r w:rsidR="00E1026B">
        <w:rPr>
          <w:color w:val="000000"/>
        </w:rPr>
        <w:instrText xml:space="preserve"> ADDIN ZOTERO_ITEM CSL_CITATION {"citationID":"J7JiWP2m","properties":{"formattedCitation":"\\super 62\\nosupersub{}","plainCitation":"62","noteIndex":0},"citationItems":[{"id":"cN3eXgV6/CZEfZnf8","uris":["http://www.mendeley.com/documents/?uuid=ebd18eb3-8ef3-3427-b7fb-de32c6c23005"],"uri":["http://www.mendeley.com/documents/?uuid=ebd18eb3-8ef3-3427-b7fb-de32c6c23005"],"itemData":{"DOI":"10.1016/j.jtumed.2016.01.005","ISSN":"16583612","abstract":"Objectives To study the clinical profile and management of Wegener's granulomatosis (WG) with subglottic stenosis (SGS) at a tertiary teaching hospital in Eastern India. Methods This prospective study incorporated a case series of six patients treated between 2007 and 2015 for WG with SGS. The demographic details of the patients, such as age, sex, clinical presentation, laryngeal endoscopy, imaging, laboratory tests, and medical and surgical options, are described. Results Of the six patients, five had laryngeal symptoms, such as hoarseness or breathing difficulty, at the time of presentation. There were four female and two male patients ranging in age from 14 to 62 years. The diagnosis of all six patients was confirmed via histopathological examination. Of the six patients, one had isolated subglottic involvement, and four had a positive antineutrophilic cytoplasmic autoantibody (C-ANCA) test on presentation. All of the patients received immunosuppressant and steroid therapies at the time of diagnosis. Five patients required tracheostomy with subglottic dilatation with cold steel instruments followed by the local injection of steroids and mitomycin-C application. Four patients have shown clinical improvement. Conclusion Although WG is a rare clinical condition, it is often confused with common ailments, which delays diagnosis, and it may involve the subglottis. The subglottis is a vital part of the laryngotracheal airway, and mild obstruction can be life threatening. The accurate and timely diagnosis of WG helps to prevent life-threatening complications, such as SGS.","author":[{"dropping-particle":"","family":"Swain","given":"Santosh K.","non-dropping-particle":"","parse-names":false,"suffix":""},{"dropping-particle":"","family":"Sahu","given":"Mahesh C.","non-dropping-particle":"","parse-names":false,"suffix":""},{"dropping-particle":"","family":"Parida","given":"Jyoti R.","non-dropping-particle":"","parse-names":false,"suffix":""}],"container-title":"Journal of Taibah University Medical Sciences","id":"ITEM-1","issued":{"date-parts":[["2016"]]},"title":"Wegener's granulomatosis causing subglottic stenosis: Experiences at a tertiary care hospital of the Eastern India","type":"article-journal"}}],"schema":"https://github.com/citation-style-language/schema/raw/master/csl-citation.json"} </w:instrText>
      </w:r>
      <w:r>
        <w:rPr>
          <w:color w:val="000000"/>
        </w:rPr>
        <w:fldChar w:fldCharType="separate"/>
      </w:r>
      <w:r w:rsidR="00E940BB" w:rsidRPr="00E940BB">
        <w:rPr>
          <w:vertAlign w:val="superscript"/>
        </w:rPr>
        <w:t>62</w:t>
      </w:r>
      <w:r>
        <w:rPr>
          <w:color w:val="000000"/>
        </w:rPr>
        <w:fldChar w:fldCharType="end"/>
      </w:r>
      <w:r>
        <w:rPr>
          <w:color w:val="000000"/>
        </w:rPr>
        <w:t xml:space="preserve"> </w:t>
      </w:r>
      <w:r>
        <w:t xml:space="preserve">The laryngeal manifestation of rheumatoid arthritis may present as swelling of the arytenoid cartilage and/or </w:t>
      </w:r>
      <w:r w:rsidRPr="007635D2">
        <w:t>rheumatoid nodules</w:t>
      </w:r>
      <w:r>
        <w:t xml:space="preserve"> near the cartilage or other parts of the larynx.</w:t>
      </w:r>
      <w:r>
        <w:fldChar w:fldCharType="begin" w:fldLock="1"/>
      </w:r>
      <w:r w:rsidR="00E1026B">
        <w:instrText xml:space="preserve"> ADDIN ZOTERO_ITEM CSL_CITATION {"citationID":"aaU06SKC","properties":{"formattedCitation":"\\super 63,64\\nosupersub{}","plainCitation":"63,64","noteIndex":0},"citationItems":[{"id":"cN3eXgV6/IAPcwRhD","uris":["http://www.mendeley.com/documents/?uuid=9bd54186-4cbb-4fc6-88b9-f28f9906a776"],"uri":["http://www.mendeley.com/documents/?uuid=9bd54186-4cbb-4fc6-88b9-f28f9906a776"],"itemData":{"DOI":"10.1155/2013/103081","ISSN":"20900430","abstract":"Rheumatoid arthritis is a destructive autoimmune disease that affects 3% of the adult population. It is characterized by the formation of both articular and extra-articular lesions with predilection for small joints. There are ubiquitous reports on the head and neck manifestations of RA with emphasis on the larynx. The laryngeal presenting features of this systemic disease may mimic a plethora of medical conditions, inflammatory and neoplastic. The main phonatory and respiratory symptoms are often subtle and misleading. This paper represents a literature review of the laryngeal manifestations of RA with emphasis on the clinical symptoms, laryngeal findings, diagnosis, and treatment. An early diagnosis of laryngeal involvement may prevent drastic complications.","author":[{"dropping-particle":"","family":"Hamdan","given":"A. L.","non-dropping-particle":"","parse-names":false,"suffix":""},{"dropping-particle":"","family":"Sarieddine","given":"D.","non-dropping-particle":"","parse-names":false,"suffix":""}],"container-title":"Autoimmune Diseases","id":"ITEM-1","issued":{"date-parts":[["2013"]]},"title":"Laryngeal manifestations of rheumatoid arthritis","type":"article-journal","volume":"2013"}},{"id":"cN3eXgV6/2MzdJ6sm","uris":["http://www.mendeley.com/documents/?uuid=55744948-d188-431c-91b2-efc1ec0d7345"],"uri":["http://www.mendeley.com/documents/?uuid=55744948-d188-431c-91b2-efc1ec0d7345"],"itemData":{"DOI":"10.1017/S0022215100084541","ISSN":"00222151","abstract":"A case of stridor due to rheumatoid arthritis of the cricoarytenoid joints is presented, with special emphasis on a new line of treatment by local intra-articular steroid injection.","author":[{"dropping-particle":"","family":"Habib","given":"M. A.","non-dropping-particle":"","parse-names":false,"suffix":""}],"container-title":"Journal of Laryngology and Otology","id":"ITEM-2","issue":"10","issued":{"date-parts":[["1977"]]},"page":"909-910","title":"Intra-articular steroid injection in acute rheumatoid arthritis of the larynx","type":"article-journal","volume":"91"}}],"schema":"https://github.com/citation-style-language/schema/raw/master/csl-citation.json"} </w:instrText>
      </w:r>
      <w:r>
        <w:fldChar w:fldCharType="separate"/>
      </w:r>
      <w:r w:rsidR="00E940BB" w:rsidRPr="00E940BB">
        <w:rPr>
          <w:vertAlign w:val="superscript"/>
        </w:rPr>
        <w:t>63,64</w:t>
      </w:r>
      <w:r>
        <w:fldChar w:fldCharType="end"/>
      </w:r>
      <w:r>
        <w:t xml:space="preserve"> </w:t>
      </w:r>
    </w:p>
    <w:p w14:paraId="7762A902" w14:textId="6E3CE361" w:rsidR="00F3198C" w:rsidRPr="0038202E" w:rsidRDefault="00F3198C" w:rsidP="0038202E">
      <w:pPr>
        <w:pBdr>
          <w:top w:val="nil"/>
          <w:left w:val="nil"/>
          <w:bottom w:val="nil"/>
          <w:right w:val="nil"/>
          <w:between w:val="nil"/>
        </w:pBdr>
        <w:ind w:right="-15"/>
        <w:rPr>
          <w:color w:val="000000"/>
        </w:rPr>
      </w:pPr>
      <w:r w:rsidRPr="00773C29">
        <w:rPr>
          <w:color w:val="000000"/>
        </w:rPr>
        <w:t xml:space="preserve">Mechanical </w:t>
      </w:r>
      <w:r w:rsidR="0041360F">
        <w:rPr>
          <w:color w:val="000000"/>
        </w:rPr>
        <w:t>VF</w:t>
      </w:r>
      <w:r w:rsidRPr="00773C29">
        <w:rPr>
          <w:color w:val="000000"/>
        </w:rPr>
        <w:t xml:space="preserve"> injuries can occur from loud or extended speaking situations where striking forces between the </w:t>
      </w:r>
      <w:r w:rsidR="00DF3DB4">
        <w:rPr>
          <w:color w:val="000000"/>
        </w:rPr>
        <w:t>VFs</w:t>
      </w:r>
      <w:r w:rsidRPr="00773C29">
        <w:rPr>
          <w:color w:val="000000"/>
        </w:rPr>
        <w:t xml:space="preserve"> are prolonged and/or increased</w:t>
      </w:r>
      <w:r w:rsidR="00326ED0">
        <w:rPr>
          <w:color w:val="000000"/>
        </w:rPr>
        <w:t xml:space="preserve">. </w:t>
      </w:r>
      <w:r w:rsidRPr="00773C29">
        <w:rPr>
          <w:color w:val="000000"/>
        </w:rPr>
        <w:t xml:space="preserve">Although the </w:t>
      </w:r>
      <w:r w:rsidR="00F94F9C">
        <w:rPr>
          <w:color w:val="000000"/>
        </w:rPr>
        <w:t xml:space="preserve">VFs </w:t>
      </w:r>
      <w:r w:rsidRPr="00773C29">
        <w:rPr>
          <w:color w:val="000000"/>
        </w:rPr>
        <w:t xml:space="preserve">can withstand this stress to a high degree, a threshold exists where the mechanical stress of vibration overcomes the tissue integrity, resulting in phonotraumatic damage to the </w:t>
      </w:r>
      <w:r>
        <w:rPr>
          <w:color w:val="000000"/>
        </w:rPr>
        <w:t>VFs</w:t>
      </w:r>
      <w:r w:rsidRPr="00773C29">
        <w:rPr>
          <w:color w:val="000000"/>
        </w:rPr>
        <w:t xml:space="preserve"> and initiation of a full-scale wound healing response.</w:t>
      </w:r>
      <w:r>
        <w:rPr>
          <w:color w:val="000000"/>
        </w:rPr>
        <w:t xml:space="preserve"> Acutely, phonotrauma may present as VF inflammation. However, repeated phonotraumatic events may lead to scarring of the VF tissue or the</w:t>
      </w:r>
      <w:r w:rsidRPr="00DD4702">
        <w:t xml:space="preserve"> </w:t>
      </w:r>
      <w:r>
        <w:t>development of benign lesions such as VF nodules, polyps, and cysts.</w:t>
      </w:r>
      <w:r>
        <w:fldChar w:fldCharType="begin"/>
      </w:r>
      <w:r w:rsidR="007503FA">
        <w:instrText xml:space="preserve"> ADDIN ZOTERO_ITEM CSL_CITATION {"citationID":"NVDwu5lq","properties":{"formattedCitation":"\\super 13,65\\uc0\\u8211{}67\\nosupersub{}","plainCitation":"13,65–67","noteIndex":0},"citationItems":[{"id":2423,"uris":["http://zotero.org/users/6281125/items/4YLG5ULR"],"uri":["http://zotero.org/users/6281125/items/4YLG5ULR"],"itemData":{"id":2423,"type":"article-journal","abstract":"Objective: To compare the ENT diagnosis with the pathology diagnosis one of 132 surgical specimens, from 119 patients with vocal nodules and polyps.\nMethod: Retrospective study. We investigated the paraffin blocks corresponding to the lesions of the operated patients. We made new histology cross-sections, totaling 396 new slides, divided into three groups: hematoxylin and eosin, Gomori trichrome and PAS. We analyzed the following histological parameters: epithelium, lamina propria, basement membrane, vascular changes. We compared the laryngological and pathological diagnoses, and we did the statistical analysis, checking the predominant histological aspects in each lesion.\nResults: There was an agreement between the clinical and pathological diagnoses in 123 (93.18%) of 132 lesions analyzed (42.42% nodules and 50.76% polyps). In the histological parameters we found: epithelial changes such as nodules hyperplasia (82.14%) and polyp atrophy (31.34%). Lamina propria: edema in polyps (71.43%), fibrosis in the nodules (57.14%). Basement membrane: thickened nodules (100%), thin/no change in polyps (100%). There was a predominance of vascular changes in the polyps.\nConclusion: We found a high correlation between the ENT diagnosis and the pathology report. Histopathologically, the nodules presented with predominantly epithelial changes, lamina propria and basement membrane fibrosis, while the polyps by changes strictly on the lamina propria and vascular aspects.","container-title":"Brazilian Journal of Otorhinolaryngology","DOI":"10.5935/1808-8694.20130078","ISSN":"18088694","issue":"4","journalAbbreviation":"Brazilian Journal of Otorhinolaryngology","language":"en","page":"434-440","source":"DOI.org (Crossref)","title":"Clinical diagnosis and histological analysis of vocal nodules and polyps","volume":"79","author":[{"family":"Nunes","given":"Raquel Buzelin"},{"family":"Behlau","given":"Mara"},{"family":"Nunes","given":"Mauricio Buzelin"},{"family":"Paulino","given":"Juliana Gomes"}],"issued":{"date-parts":[["2013",5]]}}},{"id":2406,"uris":["http://zotero.org/users/6281125/items/VAQJU7WT"],"uri":["http://zotero.org/users/6281125/items/VAQJU7WT"],"itemData":{"id":2406,"type":"article-journal","abstract":"Purpose of review \n        Innovative otolaryngologists, speech language pathologists, and voice scientists have continued to advance our understanding of the etiology, diagnosis, and treatment of vocal fold nodules, polyps, and cysts. This article reviews the recent publications over the past 3 years with respect to these advances.\n        Recent findings \n        Support for the notion that benign vocal fold lesions arise from phonatory trauma and vocal misuse continues to become evident. Changes in the molecular characteristics of the lamina propria in these lesions are beginning to be understood. For diagnostic purposes, the use of innovative technology such as ultrasonography and virtual laryngoscopy is being explored. Continued support for behavior modification as a primary treatment modality for benign vocal fold lesions has been published, and refinements in technical aspects of laryngeal microsurgery persist. Finally, outcomes studies have demonstrated improvements in vocal disability with both behavioral and surgical interventions.\n        Summary \n        Clinical and basic research has furthered our understanding of benign vocal fold lesions and has expanded our diagnostic and therapeutic armamentarium for patients with dysphonia arising from these lesions.","container-title":"Current Opinion in Otolaryngology &amp; Head and Neck Surgery","ISSN":"1068-9508","issue":"6","language":"en-US","page":"456–461","source":"journals.lww.com","title":"Update on the etiology, diagnosis, and treatment of vocal fold nodules, polyps, and cysts","volume":"11","author":[{"family":"Johns","given":"Michael M."}],"issued":{"date-parts":[["2003",12]]}}},{"id":325,"uris":["http://zotero.org/users/6281125/items/G2F7MTXY"],"uri":["http://zotero.org/users/6281125/items/G2F7MTXY"],"itemData":{"id":325,"type":"article-journal","abstract":"The basic science of wound healing is largely omitted from the curriculum of many voice clinicians. This fact is relatively disheartening as most therapeutic manipulation in the realm of laryngology and voice disorders deals with injured tissue. Therefore, the selection of therapeutic tasks for persons with vocal injury should ideally be informed by basic science in wound healing. Recently, several investigators have initiated lines of research to determine the course of vocal fold wound healing and the potential role of therapeutic agents, including behavioral agents. The current review seeks to provide a foundation of basic wound healing science and present the most current data regarding the wound healing process in the vocal folds.","container-title":"Journal of Voice","DOI":"10.1016/j.jvoice.2005.08.005","issue":"3","page":"432-442","title":"Vocal fold wound healing: A review for clinicians","volume":"20","author":[{"family":"Branski","given":"R"},{"family":"Verdolini","given":"K"},{"family":"Sandulache","given":"V"},{"family":"Rosen","given":"Clark"},{"family":"Hebda","given":"P"}],"issued":{"date-parts":[["2006"]]}}},{"id":2403,"uris":["http://zotero.org/users/6281125/items/4B8VAKQU"],"uri":["http://zotero.org/users/6281125/items/4B8VAKQU"],"itemData":{"id":2403,"type":"article-journal","abstract":"Purpose of review \n        The management of benign vocal fold lesions (BVFLs) continues to evolve. This article will review the recent literature surrounding the nomenclature, cause, diagnosis, and treatment of BVFLs, including polyps, nodules, cysts, and reactive lesions.\n        Recent findings \n        The taxonomy of vocal fold lesions has been refined, and it serves as a common descriptive language for diagnosis, treatment algorithms, and reporting of outcomes. Though these lesions are known to be the result of phonotrauma, investigation into inflammatory mediators, apoptosis, and laryngopharyngeal reflux provide further elucidation of their underlying pathophysiology. The future of diagnosis, for which direct fiberoptic visualization and stroboscopy are the current gold standard, may utilize narrow-band imaging and videokymography; the clinical utility of ultrasound and optical coherence tomography is more remote. Angiolytic laser therapy and intralesional steroid injection are acceptable options for treatment of BVFLs. Voice therapy and microsurgical excision are mainstays of treatment.\n        Summary \n        Recent clinical and basic science research has expanded upon an extensive literature surrounding the nomenclature, cause, diagnosis, and treatment of benign subepithelial vocal fold lesions. There remains a strong need for the advancement of rigorous diagnostic principles, evaluation of therapeutic interventions, and development of best practices guidelines.","container-title":"Current Opinion in Otolaryngology &amp; Head and Neck Surgery","DOI":"10.1097/MOO.0000000000000408","ISSN":"1068-9508","issue":"6","language":"en-US","page":"453–458","source":"journals.lww.com","title":"Benign vocal fold lesions: update on nomenclature, cause, diagnosis, and treatment","title-short":"Benign vocal fold lesions","volume":"25","author":[{"family":"Naunheim","given":"Matthew R."},{"family":"Carroll","given":"Thomas L."}],"issued":{"date-parts":[["2017",12]]}}}],"schema":"https://github.com/citation-style-language/schema/raw/master/csl-citation.json"} </w:instrText>
      </w:r>
      <w:r>
        <w:fldChar w:fldCharType="separate"/>
      </w:r>
      <w:r w:rsidR="00E940BB" w:rsidRPr="00E940BB">
        <w:rPr>
          <w:vertAlign w:val="superscript"/>
        </w:rPr>
        <w:t>13,65–67</w:t>
      </w:r>
      <w:r>
        <w:fldChar w:fldCharType="end"/>
      </w:r>
      <w:r w:rsidRPr="00773C29">
        <w:rPr>
          <w:color w:val="000000"/>
        </w:rPr>
        <w:t xml:space="preserve"> Mechanical </w:t>
      </w:r>
      <w:r w:rsidR="00DF3DB4">
        <w:rPr>
          <w:color w:val="000000"/>
        </w:rPr>
        <w:t>VF</w:t>
      </w:r>
      <w:r w:rsidRPr="00773C29">
        <w:rPr>
          <w:color w:val="000000"/>
        </w:rPr>
        <w:t xml:space="preserve"> </w:t>
      </w:r>
      <w:r>
        <w:rPr>
          <w:color w:val="000000"/>
        </w:rPr>
        <w:t>injuries</w:t>
      </w:r>
      <w:r w:rsidRPr="00773C29">
        <w:rPr>
          <w:color w:val="000000"/>
        </w:rPr>
        <w:t xml:space="preserve"> can also occur from surgical procedures performed to remove </w:t>
      </w:r>
      <w:r>
        <w:rPr>
          <w:color w:val="000000"/>
        </w:rPr>
        <w:t>such</w:t>
      </w:r>
      <w:r w:rsidRPr="00773C29">
        <w:rPr>
          <w:color w:val="000000"/>
        </w:rPr>
        <w:t xml:space="preserve"> lesions</w:t>
      </w:r>
      <w:r>
        <w:rPr>
          <w:color w:val="000000"/>
        </w:rPr>
        <w:t>, resulting in damage to the SSE and LP, ultimately leading to VF scarring.</w:t>
      </w:r>
      <w:r>
        <w:rPr>
          <w:color w:val="000000"/>
        </w:rPr>
        <w:fldChar w:fldCharType="begin"/>
      </w:r>
      <w:r w:rsidR="00FE6758">
        <w:rPr>
          <w:color w:val="000000"/>
        </w:rPr>
        <w:instrText xml:space="preserve"> ADDIN ZOTERO_ITEM CSL_CITATION {"citationID":"a1le6lfree1","properties":{"formattedCitation":"\\super 68\\nosupersub{}","plainCitation":"68","noteIndex":0},"citationItems":[{"id":20,"uris":["http://zotero.org/users/6281125/items/GV7GWEQY"],"uri":["http://zotero.org/users/6281125/items/GV7GWEQY"],"itemData":{"id":20,"type":"article-journal","abstract":"Scarring of the vocal folds can occur as the result of blunt laryngeal trauma or, more commonly, as the result of surgical, iatrogenic injury after excision or removal of vocal fold lesions. The scarring results in replacement of healthy tissue by fibrous tissue and can irrevocably alter vocal fold function and lead to a decreased or absent vocal fold mucosal wave. The assessment and treatment of persistent dysphonia in patients with vocal fold scarring presents both diagnostic and therapeutic challenges to the voice treatment team. The common causes of vocal fold scarring are described, and prevention of vocal fold injury during removal of vocal fold lesions is stressed. The anatomic and histologic basis for the subsequent alterations in voice production and contemporary modalities for clinical and objective assessment will be discussed. Treatment options will be reviewed, including nonsurgical treatment and voice therapy, collagen injection, fat augmentation, endoscopic laryngoplasty, and Silastic medialization.","container-title":"Otolaryngology—head and neck surgery","issue":"5","note":"DOI: 10.1016/S0194-5998(96)70087-6","page":"474-482","title":"Vocal fold scarring: Current concepts and management","volume":"115","author":[{"family":"Benninger","given":"M. S."},{"family":"Alessi","given":"D."},{"family":"Archer","given":"S."},{"family":"Bastian","given":"R."},{"family":"Ford","given":"C."},{"family":"Koufman","given":"J."},{"family":"Sataloff","given":"R. T."},{"family":"Spiegel","given":"J. R."},{"family":"Woo","given":"P."}],"issued":{"date-parts":[["1996"]]}}}],"schema":"https://github.com/citation-style-language/schema/raw/master/csl-citation.json"} </w:instrText>
      </w:r>
      <w:r>
        <w:rPr>
          <w:color w:val="000000"/>
        </w:rPr>
        <w:fldChar w:fldCharType="separate"/>
      </w:r>
      <w:r w:rsidR="00E940BB" w:rsidRPr="00E940BB">
        <w:rPr>
          <w:vertAlign w:val="superscript"/>
        </w:rPr>
        <w:t>68</w:t>
      </w:r>
      <w:r>
        <w:rPr>
          <w:color w:val="000000"/>
        </w:rPr>
        <w:fldChar w:fldCharType="end"/>
      </w:r>
    </w:p>
    <w:p w14:paraId="152EFDD2" w14:textId="67765949" w:rsidR="00F3198C" w:rsidRDefault="00F3198C" w:rsidP="0038202E">
      <w:pPr>
        <w:pStyle w:val="Heading3"/>
      </w:pPr>
      <w:bookmarkStart w:id="23" w:name="_Toc88218511"/>
      <w:r>
        <w:t>Wound Healing Cascade</w:t>
      </w:r>
      <w:bookmarkEnd w:id="23"/>
    </w:p>
    <w:p w14:paraId="424C20A2" w14:textId="2FCD60D8" w:rsidR="00F3198C" w:rsidRPr="00F3198C" w:rsidRDefault="00EC642A" w:rsidP="005A2D11">
      <w:pPr>
        <w:pStyle w:val="NormalWeb"/>
        <w:ind w:right="-14"/>
      </w:pPr>
      <w:r w:rsidRPr="000D12C7">
        <w:t>To provide better treatment outcomes for patients with these injuries, it is necessary to understand the foundations of the dynamic wound healing process.</w:t>
      </w:r>
      <w:r>
        <w:t xml:space="preserve"> </w:t>
      </w:r>
      <w:r w:rsidRPr="000D12C7">
        <w:t xml:space="preserve">Although literature regarding </w:t>
      </w:r>
      <w:r w:rsidR="00DF3DB4">
        <w:t>VF</w:t>
      </w:r>
      <w:r w:rsidRPr="000D12C7">
        <w:t xml:space="preserve"> wound healing is still emerging, </w:t>
      </w:r>
      <w:r>
        <w:t>knowledge</w:t>
      </w:r>
      <w:r w:rsidRPr="000D12C7">
        <w:t xml:space="preserve"> </w:t>
      </w:r>
      <w:r>
        <w:t>of the</w:t>
      </w:r>
      <w:r w:rsidRPr="000D12C7">
        <w:t xml:space="preserve"> dermal wound healing process is relatively well </w:t>
      </w:r>
      <w:r w:rsidRPr="00C4161C">
        <w:t>established. The wound healing cascade can be divided into at least three overlapping phases; inflammation, proliferation, and tissue remodeling.</w:t>
      </w:r>
      <w:r w:rsidRPr="000D12C7">
        <w:fldChar w:fldCharType="begin" w:fldLock="1"/>
      </w:r>
      <w:r w:rsidR="004972BE">
        <w:instrText xml:space="preserve"> ADDIN ZOTERO_ITEM CSL_CITATION {"citationID":"wJ8gfB5W","properties":{"formattedCitation":"\\super 69\\nosupersub{}","plainCitation":"69","noteIndex":0},"citationItems":[{"id":67,"uris":["http://zotero.org/users/6281125/items/PFFZXVJM"],"uri":["http://zotero.org/users/6281125/items/PFFZXVJM"],"itemData":{"id":67,"type":"article-journal","abstract":"THE primary function of the skin is to serve as a protective barrier against the environ- ment. Loss of the integrity of large portions of the skin as a result of injury or illness may lead to major disability or even death. Every year in the Unit- ed States more than 1.25 million people have burns 1 and 6.5 million have chronic skin ulcers caused by pressure, venous stasis, or diabetes mellitus. 2 The primary goals of the treatment of wounds are rapid wound closure and a functional and aestheti- cally satisfactory scar. Recent advances in cellular and molecular biology have greatly expanded our under- standing of the biologic processes involved in wound repair and tissue regeneration 3 and have led to im- provements in wound care. We review here the biol- ogy of the healing of traumatic and nontraumatic wounds and discuss the use of skin substitutes and growth factors to promote wound healing.","container-title":"The New England Journal of Medicine","issue":"1","page":"738-746","title":"Mechanisms of disease: cutaneous wound healing","volume":"341","author":[{"family":"Singer","given":"Adam J."},{"family":"Clark","given":"Richard"}],"issued":{"date-parts":[["1999"]]}}}],"schema":"https://github.com/citation-style-language/schema/raw/master/csl-citation.json"} </w:instrText>
      </w:r>
      <w:r w:rsidRPr="000D12C7">
        <w:fldChar w:fldCharType="separate"/>
      </w:r>
      <w:r w:rsidR="004972BE" w:rsidRPr="004972BE">
        <w:rPr>
          <w:vertAlign w:val="superscript"/>
        </w:rPr>
        <w:t>69</w:t>
      </w:r>
      <w:r w:rsidRPr="000D12C7">
        <w:fldChar w:fldCharType="end"/>
      </w:r>
      <w:r w:rsidRPr="000D12C7">
        <w:t xml:space="preserve"> The inflammatory phase includes hemostasis, vasodilation, and infiltration of immune cells responsible for various</w:t>
      </w:r>
      <w:r>
        <w:t xml:space="preserve"> healing </w:t>
      </w:r>
      <w:r w:rsidRPr="000D12C7">
        <w:t xml:space="preserve">functions. The </w:t>
      </w:r>
      <w:r>
        <w:t xml:space="preserve">infiltrating </w:t>
      </w:r>
      <w:r w:rsidRPr="000D12C7">
        <w:t xml:space="preserve">immune cells release proteins </w:t>
      </w:r>
      <w:r>
        <w:t>that</w:t>
      </w:r>
      <w:r w:rsidRPr="000D12C7">
        <w:t xml:space="preserve"> initiate the proliferation phase, characterized by the growth of granulation tissue in the wound bed. During the remodeling phase, the collagen fibers reorganize, remodel</w:t>
      </w:r>
      <w:r>
        <w:t>,</w:t>
      </w:r>
      <w:r w:rsidRPr="000D12C7">
        <w:t xml:space="preserve"> and mature to provide the tissue with tensile strength and functional competence.</w:t>
      </w:r>
    </w:p>
    <w:p w14:paraId="4A6CEE37" w14:textId="55D430BA" w:rsidR="00A87D60" w:rsidRPr="00A87D60" w:rsidRDefault="00EC642A" w:rsidP="0038202E">
      <w:pPr>
        <w:pStyle w:val="Heading4"/>
      </w:pPr>
      <w:bookmarkStart w:id="24" w:name="_Toc88218512"/>
      <w:r>
        <w:t>Inflammatory Phase</w:t>
      </w:r>
      <w:bookmarkEnd w:id="24"/>
    </w:p>
    <w:p w14:paraId="57E93B03" w14:textId="4A34BBBA" w:rsidR="00A87D60" w:rsidRPr="00273C6E" w:rsidRDefault="00A87D60" w:rsidP="00A87D60">
      <w:pPr>
        <w:pStyle w:val="NormalWeb"/>
        <w:ind w:right="-14"/>
        <w:rPr>
          <w:b/>
          <w:i/>
        </w:rPr>
      </w:pPr>
      <w:r w:rsidRPr="000D12C7">
        <w:t>The purpose of the inflammatory phase is to clean bacteria and debris</w:t>
      </w:r>
      <w:r>
        <w:t xml:space="preserve"> from the injured area</w:t>
      </w:r>
      <w:r w:rsidRPr="000D12C7">
        <w:t xml:space="preserve"> to prevent infection. Immediately after an injury, blood vessels are disrupted resulting in fluid leakage into the wound area. In response to the injury, the adrenal medulla releases epinephrine to constrict blood vessels, followed by platelets in the bloodstream binding to exposed collagen fibers in the sub</w:t>
      </w:r>
      <w:r>
        <w:t>-</w:t>
      </w:r>
      <w:r w:rsidRPr="000D12C7">
        <w:t>endothelium of the vessels to form a plug.</w:t>
      </w:r>
      <w:r w:rsidRPr="000D12C7">
        <w:rPr>
          <w:rStyle w:val="FootnoteReference"/>
        </w:rPr>
        <w:fldChar w:fldCharType="begin" w:fldLock="1"/>
      </w:r>
      <w:r w:rsidR="00E1026B">
        <w:instrText xml:space="preserve"> ADDIN ZOTERO_ITEM CSL_CITATION {"citationID":"aBsuazqq","properties":{"formattedCitation":"\\super 70,71\\nosupersub{}","plainCitation":"70,71","noteIndex":0},"citationItems":[{"id":"cN3eXgV6/pZIr2xTg","uris":["http://www.mendeley.com/documents/?uuid=cbef468d-5c98-4e4f-9fc6-654edddab29c"],"uri":["http://www.mendeley.com/documents/?uuid=cbef468d-5c98-4e4f-9fc6-654edddab29c"],"itemData":{"DOI":"10.1055/s-0038-1649197","ISSN":"03406245","abstract":"Anticoagulated whole blood from patients and control subjects was circulated through an annular perfusion chamber in which the fibrillar collagen of α chymotrypsin-digested subendothelium and intact subendothelium were exposed. The blood flow conditions corresponded to those in arteries (830 sec-1wall shear rate). Platelet surface interaction was measured morphometrically. Decreased adhesion to fibrillar collagen associated with normal spreading and normal adhesion-induced formation of platelet thrombi was found with blood of patients with von Willebrand's disease and the Bernard Soulier Syndrome, indicating a defect in the initial attachment reaction of platelets with collagen. Platelets of patients with thrombasthenia did normally adhere to the collagen fibrils and also lost their subcellular organelles during this reaction, but they totally failed to adhere to each other. In storage pool disease platelet thrombus formation was consistently inhibited whereas adhesion and spreading was inhibited in some patients and normal in others. In contrast adhesion was always normal after ingestion of aspirin which consistently caused a marked inhibition of platelet thrombi. These findings correspond, in essence, to those previously described on intact subendothelium. However, the observed defects are more pronounced on the fibrillar collagen than on intact subendothelium.","author":[{"dropping-particle":"","family":"Baumgartner","given":"H. R.","non-dropping-particle":"","parse-names":false,"suffix":""},{"dropping-particle":"","family":"Tschopp","given":"T. B.","non-dropping-particle":"","parse-names":false,"suffix":""},{"dropping-particle":"","family":"Weiss","given":"H. J.","non-dropping-particle":"","parse-names":false,"suffix":""}],"container-title":"Thrombosis and Haemostasis","id":"ITEM-1","issued":{"date-parts":[["1977"]]},"title":"Platelet interaction with collagen fibrils in flowing blood. II. Impaired adhesion aggregation in bleeding disorders. A comparison with subendothelium","type":"article-journal"}},{"id":"cN3eXgV6/X3UZz3Jj","uris":["http://www.mendeley.com/documents/?uuid=df8196f3-1379-480f-94f0-508b23461ed5"],"uri":["http://www.mendeley.com/documents/?uuid=df8196f3-1379-480f-94f0-508b23461ed5"],"itemData":{"DOI":"10.1002/hed.2890090507","ISSN":"19302398","abstract":"Quantification of the effect of subcutaneous infiltration of saline with epinephrine and of lidocaine with epinephrine on local cutaneous blood flow was accomplished utilizing the laser Doppler method. A comparison of the onset of vasoconstriction, magnitude of diminished blood flow, and duration of effect was made for several commonly used concentrations of epinephrine. Injected solutions containing epinephrine in concentrations of 1:200,000 and higher offered good vasoconstrictor effects when both the magnitude and duration of flow reduction were considered. There was a significant (P = 0.0001) difference in flow between epinephrine concentrations of 1:400,000 and all others. There were no significant differences (P greater than 0.05) between concentrations of 1:200,000 and 1:100,000 or 1:100,000 and 1:50,000.","author":[{"dropping-particle":"","family":"Larrabee","given":"Wayne F.","non-dropping-particle":"","parse-names":false,"suffix":""},{"dropping-particle":"","family":"Lanier","given":"Brent J.","non-dropping-particle":"","parse-names":false,"suffix":""},{"dropping-particle":"","family":"Miekle","given":"David","non-dropping-particle":"","parse-names":false,"suffix":""}],"container-title":"Head &amp; Neck Surgery","id":"ITEM-2","issue":"5","issued":{"date-parts":[["1987"]]},"page":"287-289","title":"Effect of epinephrine on local cutaneous blood flow","type":"article-journal","volume":"9"}}],"schema":"https://github.com/citation-style-language/schema/raw/master/csl-citation.json"} </w:instrText>
      </w:r>
      <w:r w:rsidRPr="000D12C7">
        <w:rPr>
          <w:rStyle w:val="FootnoteReference"/>
        </w:rPr>
        <w:fldChar w:fldCharType="separate"/>
      </w:r>
      <w:r w:rsidR="00E940BB" w:rsidRPr="00E940BB">
        <w:rPr>
          <w:vertAlign w:val="superscript"/>
        </w:rPr>
        <w:t>70,71</w:t>
      </w:r>
      <w:r w:rsidRPr="000D12C7">
        <w:rPr>
          <w:rStyle w:val="FootnoteReference"/>
        </w:rPr>
        <w:fldChar w:fldCharType="end"/>
      </w:r>
      <w:r w:rsidRPr="000D12C7">
        <w:t xml:space="preserve"> The exposed molecules of the sub</w:t>
      </w:r>
      <w:r>
        <w:t>-</w:t>
      </w:r>
      <w:r w:rsidRPr="000D12C7">
        <w:t>endothelium, such as tissue factor,</w:t>
      </w:r>
      <w:r>
        <w:t xml:space="preserve"> form a protein complex that</w:t>
      </w:r>
      <w:r w:rsidRPr="000D12C7">
        <w:t xml:space="preserve"> initiate</w:t>
      </w:r>
      <w:r>
        <w:t>s</w:t>
      </w:r>
      <w:r w:rsidRPr="000D12C7">
        <w:t xml:space="preserve"> the coagulation cascade resulting in thrombin formation. Thrombin, a principal enzyme of hemostasis,</w:t>
      </w:r>
      <w:r w:rsidRPr="000D12C7">
        <w:rPr>
          <w:color w:val="222222"/>
          <w:shd w:val="clear" w:color="auto" w:fill="FFFFFF"/>
        </w:rPr>
        <w:t xml:space="preserve"> </w:t>
      </w:r>
      <w:r w:rsidRPr="000D12C7">
        <w:t>aggregates additional platelets to the site of vessel injury and converts fibrinogen into fibrin strands</w:t>
      </w:r>
      <w:r>
        <w:t>.</w:t>
      </w:r>
      <w:r w:rsidRPr="000D12C7">
        <w:rPr>
          <w:rStyle w:val="FootnoteReference"/>
        </w:rPr>
        <w:fldChar w:fldCharType="begin" w:fldLock="1"/>
      </w:r>
      <w:r w:rsidR="00E1026B">
        <w:instrText xml:space="preserve"> ADDIN ZOTERO_ITEM CSL_CITATION {"citationID":"M83BJgFx","properties":{"formattedCitation":"\\super 72\\nosupersub{}","plainCitation":"72","noteIndex":0},"citationItems":[{"id":"cN3eXgV6/wiD6KvqW","uris":["http://www.mendeley.com/documents/?uuid=d8b86967-a348-4861-844e-7625512eceb9"],"uri":["http://www.mendeley.com/documents/?uuid=d8b86967-a348-4861-844e-7625512eceb9"],"itemData":{"DOI":"10.1378/chest.124.3_suppl.58S","ISSN":"00123692","PMID":"12970125","abstract":"In addition to its primary role in hemostasis and blood coagulation, thrombin is a potent mitogen capable of inducing cellular functions. Therefore, it should come as no surprise that thrombin has proved to be of importance in the behavior of cancer. In this review, we focus on the ability of tissue factor (TF) and thrombin to influence tumor angiogenesis. Both exert their influence on angiogenesis through clotting-dependent and clotting-independent mechanisms: (1) directly affecting signaling pathways that mediate cell functions, and (2) mediating clot formation, thereby providing a growth media for tumor cells. Therefore, anticoagulant drugs may prove efficacious in cancer treatment due to their ability to reduce the characteristic hypercoagulability of cancer and alter the fundamental biology of cancer.","author":[{"dropping-particle":"","family":"Rickles","given":"Frederick R.","non-dropping-particle":"","parse-names":false,"suffix":""},{"dropping-particle":"","family":"Patierno","given":"Steven","non-dropping-particle":"","parse-names":false,"suffix":""},{"dropping-particle":"","family":"Fernandez","given":"Patricia M.","non-dropping-particle":"","parse-names":false,"suffix":""}],"container-title":"Chest","id":"ITEM-1","issued":{"date-parts":[["2003"]]},"title":"Tissue factor, thrombin, and cancer","type":"article-journal"}}],"schema":"https://github.com/citation-style-language/schema/raw/master/csl-citation.json"} </w:instrText>
      </w:r>
      <w:r w:rsidRPr="000D12C7">
        <w:rPr>
          <w:rStyle w:val="FootnoteReference"/>
        </w:rPr>
        <w:fldChar w:fldCharType="separate"/>
      </w:r>
      <w:r w:rsidR="00E940BB" w:rsidRPr="00E940BB">
        <w:rPr>
          <w:vertAlign w:val="superscript"/>
        </w:rPr>
        <w:t>72</w:t>
      </w:r>
      <w:r w:rsidRPr="000D12C7">
        <w:rPr>
          <w:rStyle w:val="FootnoteReference"/>
        </w:rPr>
        <w:fldChar w:fldCharType="end"/>
      </w:r>
      <w:r w:rsidRPr="000D12C7">
        <w:t xml:space="preserve"> Fibrin composes the provisional cross</w:t>
      </w:r>
      <w:r>
        <w:t>-</w:t>
      </w:r>
      <w:r w:rsidRPr="000D12C7">
        <w:t>links stabilizing the newly formed platelet plug to prevent blood from flowing out, achieving hemostasis</w:t>
      </w:r>
      <w:r>
        <w:t>.</w:t>
      </w:r>
    </w:p>
    <w:p w14:paraId="2989B57D" w14:textId="68AECAD1" w:rsidR="00A87D60" w:rsidRPr="00737693" w:rsidRDefault="00A87D60" w:rsidP="00A87D60">
      <w:pPr>
        <w:pStyle w:val="NormalWeb"/>
        <w:ind w:right="-14"/>
        <w:rPr>
          <w:b/>
          <w:bCs/>
        </w:rPr>
      </w:pPr>
      <w:r w:rsidRPr="000D12C7">
        <w:t>During the first 24</w:t>
      </w:r>
      <w:r w:rsidR="00DC4C76">
        <w:t xml:space="preserve"> to </w:t>
      </w:r>
      <w:r w:rsidRPr="000D12C7">
        <w:t>36</w:t>
      </w:r>
      <w:r w:rsidR="00DC4C76">
        <w:t>-</w:t>
      </w:r>
      <w:r w:rsidRPr="000D12C7">
        <w:t xml:space="preserve">hours following </w:t>
      </w:r>
      <w:r>
        <w:t xml:space="preserve">an </w:t>
      </w:r>
      <w:r w:rsidRPr="000D12C7">
        <w:t xml:space="preserve">injury, mast cells residing in nearby connective tissue release histamine. Histamine dilates </w:t>
      </w:r>
      <w:bookmarkStart w:id="25" w:name="_Hlk13046357"/>
      <w:r w:rsidRPr="000D12C7">
        <w:t>blood vessels which cause</w:t>
      </w:r>
      <w:r w:rsidR="00BA38A8">
        <w:t>s</w:t>
      </w:r>
      <w:r w:rsidRPr="000D12C7">
        <w:t xml:space="preserve"> the traditional redness, swelling, and heat associated with inflammation</w:t>
      </w:r>
      <w:bookmarkEnd w:id="25"/>
      <w:r w:rsidRPr="000D12C7">
        <w:t>. The resulting increased vascular permeability allows immune cells, such as neutrophils, to slip through the vessel walls. Concurrently, various small proteins involved in cell signaling, called cytokines, are released from mast cells and platelets, including interleukins (IL), tumor necrosis factor (TNF)</w:t>
      </w:r>
      <w:r>
        <w:t>,</w:t>
      </w:r>
      <w:r w:rsidRPr="000D12C7">
        <w:t xml:space="preserve"> transforming growth factor (TGF)-β, and platelet-derived growth factor (PDGF)</w:t>
      </w:r>
      <w:r>
        <w:t xml:space="preserve">, which induce </w:t>
      </w:r>
      <w:r>
        <w:rPr>
          <w:color w:val="000000"/>
        </w:rPr>
        <w:t>c</w:t>
      </w:r>
      <w:r w:rsidRPr="000D12C7">
        <w:rPr>
          <w:color w:val="000000"/>
        </w:rPr>
        <w:t>yclooxygenase</w:t>
      </w:r>
      <w:r>
        <w:rPr>
          <w:color w:val="000000"/>
        </w:rPr>
        <w:t xml:space="preserve"> (COX)</w:t>
      </w:r>
      <w:r w:rsidRPr="000D12C7">
        <w:rPr>
          <w:color w:val="000000"/>
        </w:rPr>
        <w:t xml:space="preserve">-2 </w:t>
      </w:r>
      <w:r>
        <w:rPr>
          <w:color w:val="000000"/>
        </w:rPr>
        <w:t>production -</w:t>
      </w:r>
      <w:r w:rsidRPr="000D12C7">
        <w:rPr>
          <w:color w:val="000000"/>
        </w:rPr>
        <w:t xml:space="preserve"> an enzyme that synthesizes </w:t>
      </w:r>
      <w:r>
        <w:rPr>
          <w:color w:val="000000"/>
        </w:rPr>
        <w:t xml:space="preserve">prostaglandins </w:t>
      </w:r>
      <w:r w:rsidRPr="000D12C7">
        <w:rPr>
          <w:color w:val="000000"/>
        </w:rPr>
        <w:t xml:space="preserve">that </w:t>
      </w:r>
      <w:r>
        <w:rPr>
          <w:color w:val="000000"/>
        </w:rPr>
        <w:t xml:space="preserve">further </w:t>
      </w:r>
      <w:r w:rsidRPr="000D12C7">
        <w:rPr>
          <w:color w:val="000000"/>
        </w:rPr>
        <w:t>promote platelet aggregation and initiate inflammatory cytokine release by immune cells.</w:t>
      </w:r>
      <w:r w:rsidRPr="000D12C7">
        <w:rPr>
          <w:color w:val="000000"/>
        </w:rPr>
        <w:fldChar w:fldCharType="begin" w:fldLock="1"/>
      </w:r>
      <w:r w:rsidR="00E1026B">
        <w:rPr>
          <w:color w:val="000000"/>
        </w:rPr>
        <w:instrText xml:space="preserve"> ADDIN ZOTERO_ITEM CSL_CITATION {"citationID":"g4T86coD","properties":{"formattedCitation":"\\super 73\\nosupersub{}","plainCitation":"73","noteIndex":0},"citationItems":[{"id":"cN3eXgV6/O3pcDxXn","uris":["http://www.mendeley.com/documents/?uuid=02a009a8-a64a-3579-b96c-0db35d248867"],"uri":["http://www.mendeley.com/documents/?uuid=02a009a8-a64a-3579-b96c-0db35d248867"],"itemData":{"DOI":"10.1016/S0140-6736(98)12154-2","ISSN":"0140-6736","abstract":"In the past 100 years aspirin has demonstrated its value as an analgesic, anti-inflammatory, and antithrombotic agent. However, by 1938, it was clear that aspirin was gastrotoxic. Non-steroidal anti-inflammatory drugs (NSAIDs), developed since the 1960s, failed to achieve the goal of “a safer aspirin”. The demonstration that inhibition of prostaglandin synthesis via a cyclo-oxygenase (COX) enzyme was central to both the therapeutic and toxic effects of aspirin and non-aspirin NSAIDs appeared to establish the principle of no gain without pain. This link may have been broken by drugs that selectively inhibit the inducible COX-2 enzyme. The COX enzyme is now a target of drug interventions against the inflammatory process. Might the “safe aspirin” be here at last?","author":[{"dropping-particle":"","family":"Hawkey","given":"CJ","non-dropping-particle":"","parse-names":false,"suffix":""}],"container-title":"The Lancet","id":"ITEM-1","issue":"9149","issued":{"date-parts":[["1999","1","23"]]},"page":"307-314","publisher":"Elsevier","title":"COX-2 inhibitors","type":"article-journal","volume":"353"}}],"schema":"https://github.com/citation-style-language/schema/raw/master/csl-citation.json"} </w:instrText>
      </w:r>
      <w:r w:rsidRPr="000D12C7">
        <w:rPr>
          <w:color w:val="000000"/>
        </w:rPr>
        <w:fldChar w:fldCharType="separate"/>
      </w:r>
      <w:r w:rsidR="00E940BB" w:rsidRPr="00E940BB">
        <w:rPr>
          <w:vertAlign w:val="superscript"/>
        </w:rPr>
        <w:t>73</w:t>
      </w:r>
      <w:r w:rsidRPr="000D12C7">
        <w:rPr>
          <w:color w:val="000000"/>
        </w:rPr>
        <w:fldChar w:fldCharType="end"/>
      </w:r>
      <w:r w:rsidRPr="000D12C7">
        <w:t xml:space="preserve"> </w:t>
      </w:r>
      <w:r>
        <w:t xml:space="preserve">These cytokines also </w:t>
      </w:r>
      <w:r w:rsidRPr="000D12C7">
        <w:t xml:space="preserve">chemoattract neutrophils which utilize the fibrin clot as </w:t>
      </w:r>
      <w:r>
        <w:t>scaffolding</w:t>
      </w:r>
      <w:r w:rsidRPr="000D12C7">
        <w:t xml:space="preserve"> to infiltrate and clean bacteria and other foreign substances from the wound area.</w:t>
      </w:r>
      <w:r w:rsidRPr="000D12C7">
        <w:fldChar w:fldCharType="begin" w:fldLock="1"/>
      </w:r>
      <w:r w:rsidR="00E1026B">
        <w:instrText xml:space="preserve"> ADDIN ZOTERO_ITEM CSL_CITATION {"citationID":"Y6G9jA1n","properties":{"formattedCitation":"\\super 74,75\\nosupersub{}","plainCitation":"74,75","noteIndex":0},"citationItems":[{"id":"cN3eXgV6/wjfDHseH","uris":["http://www.mendeley.com/documents/?uuid=98795308-6139-4f98-9f64-6dff9cd6a826"],"uri":["http://www.mendeley.com/documents/?uuid=98795308-6139-4f98-9f64-6dff9cd6a826"],"itemData":{"DOI":"10.1016/j.clindermatol.2006.09.007","ISSN":"0738081X","PMID":"17276196","abstract":"Wound healing is a complex process that can be divided into at least 3 continuous and overlapping processes: an inflammatory reaction, a proliferative process leading to tissue restoration, and, eventually, tissue remodeling. Wound healing processes are strictly regulated by multiple growth factors and cytokines released at the wound site. Although the desirable final result of coordinated healing would be the formation of tissue with a similar structure and comparable functions as with intact skin, regeneration is uncommon (with notable exceptions such as early fetal healing); healing however results in a structurally and functionally satisfactory but not identical outcome. Alterations that disrupt controlled healing processes would extend tissue damage and repair. The pathobiologic states may lead to chronic or nonhealing wounds or excessive fibrosis. © 2007 Elsevier Inc. All rights reserved.","author":[{"dropping-particle":"","family":"Li","given":"Jie","non-dropping-particle":"","parse-names":false,"suffix":""},{"dropping-particle":"","family":"Chen","given":"Juan","non-dropping-particle":"","parse-names":false,"suffix":""},{"dropping-particle":"","family":"Kirsner","given":"Robert","non-dropping-particle":"","parse-names":false,"suffix":""}],"container-title":"Clinics in Dermatology","id":"ITEM-1","issued":{"date-parts":[["2007"]]},"title":"Pathophysiology of acute wound healing","type":"article-journal"}},{"id":"cN3eXgV6/ER7BqiNK","uris":["http://www.mendeley.com/documents/?uuid=dbeb8536-96d0-41ba-8c20-e91f262fdaf1"],"uri":["http://www.mendeley.com/documents/?uuid=dbeb8536-96d0-41ba-8c20-e91f262fdaf1"],"itemData":{"author":[{"dropping-particle":"","family":"Ng","given":"Michael F Y","non-dropping-particle":"","parse-names":false,"suffix":""}],"id":"ITEM-2","issue":"1","issued":{"date-parts":[["2010"]]},"page":"55-61","title":"The role of mast cells in wound healing","type":"article-journal","volume":"7"}}],"schema":"https://github.com/citation-style-language/schema/raw/master/csl-citation.json"} </w:instrText>
      </w:r>
      <w:r w:rsidRPr="000D12C7">
        <w:fldChar w:fldCharType="separate"/>
      </w:r>
      <w:r w:rsidR="00E940BB" w:rsidRPr="00E940BB">
        <w:rPr>
          <w:vertAlign w:val="superscript"/>
        </w:rPr>
        <w:t>74,75</w:t>
      </w:r>
      <w:r w:rsidRPr="000D12C7">
        <w:fldChar w:fldCharType="end"/>
      </w:r>
      <w:r w:rsidRPr="000D12C7">
        <w:t xml:space="preserve"> Once the bacteria have been removed, the neutrophils begin to die off</w:t>
      </w:r>
      <w:r>
        <w:t>.</w:t>
      </w:r>
    </w:p>
    <w:p w14:paraId="40759091" w14:textId="71A2A4A9" w:rsidR="007E7028" w:rsidRDefault="00A87D60" w:rsidP="00091A04">
      <w:pPr>
        <w:pStyle w:val="NormalWeb"/>
        <w:ind w:right="-14"/>
      </w:pPr>
      <w:r>
        <w:t>A</w:t>
      </w:r>
      <w:r w:rsidRPr="000D12C7">
        <w:t>round 48</w:t>
      </w:r>
      <w:r w:rsidR="00DC4C76">
        <w:t xml:space="preserve"> to </w:t>
      </w:r>
      <w:r w:rsidRPr="000D12C7">
        <w:t>72</w:t>
      </w:r>
      <w:r w:rsidR="00DC4C76">
        <w:t>-</w:t>
      </w:r>
      <w:r w:rsidRPr="000D12C7">
        <w:t xml:space="preserve">hours after </w:t>
      </w:r>
      <w:r>
        <w:t xml:space="preserve">an </w:t>
      </w:r>
      <w:r w:rsidRPr="000D12C7">
        <w:t xml:space="preserve">injury, many of the same cytokines that attracted neutrophils chemoattract other immune cells </w:t>
      </w:r>
      <w:r>
        <w:t xml:space="preserve">called </w:t>
      </w:r>
      <w:r w:rsidRPr="000D12C7">
        <w:t>monocytes.</w:t>
      </w:r>
      <w:r w:rsidRPr="000D12C7">
        <w:rPr>
          <w:rStyle w:val="FootnoteReference"/>
        </w:rPr>
        <w:fldChar w:fldCharType="begin" w:fldLock="1"/>
      </w:r>
      <w:r w:rsidR="00E1026B">
        <w:instrText xml:space="preserve"> ADDIN ZOTERO_ITEM CSL_CITATION {"citationID":"hfSbMqBI","properties":{"formattedCitation":"\\super 76\\nosupersub{}","plainCitation":"76","noteIndex":0},"citationItems":[{"id":"cN3eXgV6/qI57Ueel","uris":["http://www.mendeley.com/documents/?uuid=44356331-ac14-40bf-b933-8d0f40882fa0"],"uri":["http://www.mendeley.com/documents/?uuid=44356331-ac14-40bf-b933-8d0f40882fa0"],"itemData":{"DOI":"10.1177/147323000903700531","ISSN":"03000605","PMID":"19930861","abstract":"Wound healing remains a challenging clinical problem and correct, efficient wound management is essential. Much effort has been focused on wound care with an emphasis on new therapeutic approaches and the development of technologies for acute and chronic wound management. Wound healing involves multiple cell populations, the extracellular matrix and the action of soluble mediators such as growth factors and cytokines. Although the process of healing is continuous, it may be arbitrarily divided into four phases: (i) coagulation and haemostasis; (ii) inflammation; (iii) proliferation; and (iv) wound remodelling with scar tissue formation. The correct approach to wound management may effectively influence the clinical outcome. This review discusses wound classification, the physiology of the wound healing process and the methods used in wound management. Copyright © 2009 Field House Publishing LLP.","author":[{"dropping-particle":"","family":"Velnar","given":"Tomaz","non-dropping-particle":"","parse-names":false,"suffix":""},{"dropping-particle":"","family":"Bailey","given":"T.","non-dropping-particle":"","parse-names":false,"suffix":""},{"dropping-particle":"","family":"Smrkolj","given":"V.","non-dropping-particle":"","parse-names":false,"suffix":""}],"container-title":"Journal of International Medical Research","id":"ITEM-1","issued":{"date-parts":[["2009"]]},"title":"The wound healing process: An overview of the cellular and molecular mechanisms","type":"article"}}],"schema":"https://github.com/citation-style-language/schema/raw/master/csl-citation.json"} </w:instrText>
      </w:r>
      <w:r w:rsidRPr="000D12C7">
        <w:rPr>
          <w:rStyle w:val="FootnoteReference"/>
        </w:rPr>
        <w:fldChar w:fldCharType="separate"/>
      </w:r>
      <w:r w:rsidR="00E940BB" w:rsidRPr="00E940BB">
        <w:rPr>
          <w:vertAlign w:val="superscript"/>
        </w:rPr>
        <w:t>76</w:t>
      </w:r>
      <w:r w:rsidRPr="000D12C7">
        <w:rPr>
          <w:rStyle w:val="FootnoteReference"/>
        </w:rPr>
        <w:fldChar w:fldCharType="end"/>
      </w:r>
      <w:r w:rsidRPr="000D12C7">
        <w:rPr>
          <w:rStyle w:val="FootnoteReference"/>
        </w:rPr>
        <w:t xml:space="preserve"> </w:t>
      </w:r>
      <w:r w:rsidRPr="000D12C7">
        <w:t>Monocytes migrate to the wound area through dilated vessels and mature into macrophages, devouring damaged tissue debris and dead neutrophils in a process called phagocytosis.</w:t>
      </w:r>
      <w:r w:rsidRPr="000D12C7">
        <w:fldChar w:fldCharType="begin" w:fldLock="1"/>
      </w:r>
      <w:r w:rsidR="00E1026B">
        <w:instrText xml:space="preserve"> ADDIN ZOTERO_ITEM CSL_CITATION {"citationID":"ZrrAnn2O","properties":{"formattedCitation":"\\super 74\\nosupersub{}","plainCitation":"74","noteIndex":0},"citationItems":[{"id":"cN3eXgV6/wjfDHseH","uris":["http://www.mendeley.com/documents/?uuid=98795308-6139-4f98-9f64-6dff9cd6a826"],"uri":["http://www.mendeley.com/documents/?uuid=98795308-6139-4f98-9f64-6dff9cd6a826"],"itemData":{"DOI":"10.1016/j.clindermatol.2006.09.007","ISSN":"0738081X","PMID":"17276196","abstract":"Wound healing is a complex process that can be divided into at least 3 continuous and overlapping processes: an inflammatory reaction, a proliferative process leading to tissue restoration, and, eventually, tissue remodeling. Wound healing processes are strictly regulated by multiple growth factors and cytokines released at the wound site. Although the desirable final result of coordinated healing would be the formation of tissue with a similar structure and comparable functions as with intact skin, regeneration is uncommon (with notable exceptions such as early fetal healing); healing however results in a structurally and functionally satisfactory but not identical outcome. Alterations that disrupt controlled healing processes would extend tissue damage and repair. The pathobiologic states may lead to chronic or nonhealing wounds or excessive fibrosis. © 2007 Elsevier Inc. All rights reserved.","author":[{"dropping-particle":"","family":"Li","given":"Jie","non-dropping-particle":"","parse-names":false,"suffix":""},{"dropping-particle":"","family":"Chen","given":"Juan","non-dropping-particle":"","parse-names":false,"suffix":""},{"dropping-particle":"","family":"Kirsner","given":"Robert","non-dropping-particle":"","parse-names":false,"suffix":""}],"container-title":"Clinics in Dermatology","id":"ITEM-1","issued":{"date-parts":[["2007"]]},"title":"Pathophysiology of acute wound healing","type":"article-journal"}}],"schema":"https://github.com/citation-style-language/schema/raw/master/csl-citation.json"} </w:instrText>
      </w:r>
      <w:r w:rsidRPr="000D12C7">
        <w:fldChar w:fldCharType="separate"/>
      </w:r>
      <w:r w:rsidR="00E940BB" w:rsidRPr="00E940BB">
        <w:rPr>
          <w:vertAlign w:val="superscript"/>
        </w:rPr>
        <w:t>74</w:t>
      </w:r>
      <w:r w:rsidRPr="000D12C7">
        <w:fldChar w:fldCharType="end"/>
      </w:r>
      <w:r w:rsidRPr="000D12C7">
        <w:t xml:space="preserve"> Macrophages play a pivotal role in the following stage of wound healing by attracting and stimulating other cell types to initiate several tissue reconstructive tasks</w:t>
      </w:r>
      <w:r w:rsidR="001F1FAC">
        <w:t xml:space="preserve"> </w:t>
      </w:r>
      <w:r w:rsidR="00006D8B">
        <w:t>(</w:t>
      </w:r>
      <w:r w:rsidR="001F1FAC">
        <w:t>Figure 4)</w:t>
      </w:r>
      <w:r w:rsidR="007E7028">
        <w:t>.</w:t>
      </w:r>
    </w:p>
    <w:p w14:paraId="715721AE" w14:textId="77777777" w:rsidR="00091A04" w:rsidRDefault="00091A04" w:rsidP="00091A04">
      <w:pPr>
        <w:pStyle w:val="NormalWeb"/>
        <w:ind w:right="-14"/>
      </w:pPr>
    </w:p>
    <w:p w14:paraId="271F53B3" w14:textId="77777777" w:rsidR="007E7028" w:rsidRDefault="007E7028" w:rsidP="007E7028">
      <w:pPr>
        <w:keepNext/>
        <w:ind w:firstLine="0"/>
        <w:jc w:val="center"/>
      </w:pPr>
      <w:r>
        <w:rPr>
          <w:noProof/>
        </w:rPr>
        <w:drawing>
          <wp:inline distT="0" distB="0" distL="0" distR="0" wp14:anchorId="2AA88D44" wp14:editId="290CEEC9">
            <wp:extent cx="5896098" cy="3595381"/>
            <wp:effectExtent l="0" t="0" r="9525" b="508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27430" cy="3614487"/>
                    </a:xfrm>
                    <a:prstGeom prst="rect">
                      <a:avLst/>
                    </a:prstGeom>
                    <a:noFill/>
                    <a:ln>
                      <a:noFill/>
                    </a:ln>
                  </pic:spPr>
                </pic:pic>
              </a:graphicData>
            </a:graphic>
          </wp:inline>
        </w:drawing>
      </w:r>
    </w:p>
    <w:p w14:paraId="0599A903" w14:textId="12A67AE3" w:rsidR="004C41D4" w:rsidRPr="004C41D4" w:rsidRDefault="007E7028" w:rsidP="004C41D4">
      <w:pPr>
        <w:pStyle w:val="Caption"/>
      </w:pPr>
      <w:bookmarkStart w:id="26" w:name="_Toc88218597"/>
      <w:r>
        <w:t xml:space="preserve">Figure </w:t>
      </w:r>
      <w:r>
        <w:fldChar w:fldCharType="begin"/>
      </w:r>
      <w:r>
        <w:instrText xml:space="preserve"> SEQ Figure \* ARABIC </w:instrText>
      </w:r>
      <w:r>
        <w:fldChar w:fldCharType="separate"/>
      </w:r>
      <w:r w:rsidR="00CD04FC">
        <w:t>4</w:t>
      </w:r>
      <w:r>
        <w:fldChar w:fldCharType="end"/>
      </w:r>
      <w:r>
        <w:t>.</w:t>
      </w:r>
      <w:r w:rsidR="00826204">
        <w:t xml:space="preserve"> Ill</w:t>
      </w:r>
      <w:r w:rsidR="004C41D4">
        <w:t>u</w:t>
      </w:r>
      <w:r w:rsidR="00826204">
        <w:t xml:space="preserve">stration of </w:t>
      </w:r>
      <w:r w:rsidR="00BA38A8">
        <w:t xml:space="preserve">the </w:t>
      </w:r>
      <w:r w:rsidR="00826204">
        <w:t>infla</w:t>
      </w:r>
      <w:r w:rsidR="004C41D4">
        <w:t>m</w:t>
      </w:r>
      <w:r w:rsidR="00826204">
        <w:t>matory phase of wound healing</w:t>
      </w:r>
      <w:bookmarkEnd w:id="26"/>
      <w:r w:rsidR="00826204">
        <w:t xml:space="preserve"> </w:t>
      </w:r>
    </w:p>
    <w:p w14:paraId="5227542B" w14:textId="0B32087D" w:rsidR="004C41D4" w:rsidRDefault="004C41D4" w:rsidP="001468E1">
      <w:pPr>
        <w:pStyle w:val="Heading4"/>
      </w:pPr>
      <w:bookmarkStart w:id="27" w:name="_Toc88218513"/>
      <w:r>
        <w:t>Proliferation Phase</w:t>
      </w:r>
      <w:bookmarkEnd w:id="27"/>
    </w:p>
    <w:p w14:paraId="4E8E2172" w14:textId="2F5DACA2" w:rsidR="00B873E7" w:rsidRDefault="00B873E7" w:rsidP="00B873E7">
      <w:pPr>
        <w:pStyle w:val="NormalWeb"/>
        <w:ind w:right="-14"/>
      </w:pPr>
      <w:r w:rsidRPr="000D12C7">
        <w:t>The inflammatory response sets the stage for the next phase in healing</w:t>
      </w:r>
      <w:r>
        <w:t xml:space="preserve"> -</w:t>
      </w:r>
      <w:r w:rsidRPr="000D12C7">
        <w:t xml:space="preserve"> the proliferation phase. The purpose of the proliferation phase is to supply blood and oxygen to the wound area and reestablish a protective barrier. This phase is characterized by the formation of pinkish granulation tissue</w:t>
      </w:r>
      <w:r>
        <w:t>,</w:t>
      </w:r>
      <w:r w:rsidRPr="000D12C7">
        <w:t xml:space="preserve"> and begins 3</w:t>
      </w:r>
      <w:r>
        <w:t xml:space="preserve"> to </w:t>
      </w:r>
      <w:r w:rsidRPr="000D12C7">
        <w:t>4</w:t>
      </w:r>
      <w:r>
        <w:t>-</w:t>
      </w:r>
      <w:r w:rsidRPr="000D12C7">
        <w:t>days post</w:t>
      </w:r>
      <w:r>
        <w:t>-</w:t>
      </w:r>
      <w:r w:rsidRPr="000D12C7">
        <w:t>injury</w:t>
      </w:r>
      <w:r w:rsidR="00BA38A8">
        <w:t>,</w:t>
      </w:r>
      <w:r w:rsidRPr="000D12C7">
        <w:t xml:space="preserve"> and lasts for about 2</w:t>
      </w:r>
      <w:r w:rsidR="002B1C57">
        <w:t xml:space="preserve"> to</w:t>
      </w:r>
      <w:r w:rsidR="00332018">
        <w:t xml:space="preserve"> </w:t>
      </w:r>
      <w:r w:rsidRPr="000D12C7">
        <w:t>3</w:t>
      </w:r>
      <w:r w:rsidR="002B1C57">
        <w:t>-</w:t>
      </w:r>
      <w:r w:rsidRPr="000D12C7">
        <w:t>weeks.</w:t>
      </w:r>
      <w:r w:rsidRPr="000D12C7">
        <w:fldChar w:fldCharType="begin" w:fldLock="1"/>
      </w:r>
      <w:r w:rsidR="00DA7707">
        <w:instrText xml:space="preserve"> ADDIN ZOTERO_ITEM CSL_CITATION {"citationID":"BjqXMA4v","properties":{"formattedCitation":"\\super 69,76,77\\nosupersub{}","plainCitation":"69,76,77","noteIndex":0},"citationItems":[{"id":67,"uris":["http://zotero.org/users/6281125/items/PFFZXVJM"],"uri":["http://zotero.org/users/6281125/items/PFFZXVJM"],"itemData":{"id":67,"type":"article-journal","abstract":"THE primary function of the skin is to serve as a protective barrier against the environ- ment. Loss of the integrity of large portions of the skin as a result of injury or illness may lead to major disability or even death. Every year in the Unit- ed States more than 1.25 million people have burns 1 and 6.5 million have chronic skin ulcers caused by pressure, venous stasis, or diabetes mellitus. 2 The primary goals of the treatment of wounds are rapid wound closure and a functional and aestheti- cally satisfactory scar. Recent advances in cellular and molecular biology have greatly expanded our under- standing of the biologic processes involved in wound repair and tissue regeneration 3 and have led to im- provements in wound care. We review here the biol- ogy of the healing of traumatic and nontraumatic wounds and discuss the use of skin substitutes and growth factors to promote wound healing.","container-title":"The New England Journal of Medicine","issue":"1","page":"738-746","title":"Mechanisms of disease: cutaneous wound healing","volume":"341","author":[{"family":"Singer","given":"Adam J."},{"family":"Clark","given":"Richard"}],"issued":{"date-parts":[["1999"]]}}},{"id":"cN3eXgV6/qI57Ueel","uris":["http://www.mendeley.com/documents/?uuid=44356331-ac14-40bf-b933-8d0f40882fa0"],"uri":["http://www.mendeley.com/documents/?uuid=44356331-ac14-40bf-b933-8d0f40882fa0"],"itemData":{"DOI":"10.1177/147323000903700531","ISSN":"03000605","PMID":"19930861","abstract":"Wound healing remains a challenging clinical problem and correct, efficient wound management is essential. Much effort has been focused on wound care with an emphasis on new therapeutic approaches and the development of technologies for acute and chronic wound management. Wound healing involves multiple cell populations, the extracellular matrix and the action of soluble mediators such as growth factors and cytokines. Although the process of healing is continuous, it may be arbitrarily divided into four phases: (i) coagulation and haemostasis; (ii) inflammation; (iii) proliferation; and (iv) wound remodelling with scar tissue formation. The correct approach to wound management may effectively influence the clinical outcome. This review discusses wound classification, the physiology of the wound healing process and the methods used in wound management. Copyright © 2009 Field House Publishing LLP.","author":[{"dropping-particle":"","family":"Velnar","given":"Tomaz","non-dropping-particle":"","parse-names":false,"suffix":""},{"dropping-particle":"","family":"Bailey","given":"T.","non-dropping-particle":"","parse-names":false,"suffix":""},{"dropping-particle":"","family":"Smrkolj","given":"V.","non-dropping-particle":"","parse-names":false,"suffix":""}],"container-title":"Journal of International Medical Research","id":"ITEM-2","issued":{"date-parts":[["2009"]]},"title":"The wound healing process: An overview of the cellular and molecular mechanisms","type":"article"}},{"id":"cN3eXgV6/z8VKE5AV","uris":["http://www.mendeley.com/documents/?uuid=0d13636d-6fb5-4fbe-8f5e-ed8cb6e93837"],"uri":["http://www.mendeley.com/documents/?uuid=0d13636d-6fb5-4fbe-8f5e-ed8cb6e93837"],"itemData":{"DOI":"10.1016/j.mpsur.2010.05.007","ISSN":"02639319","abstract":"Wound healing is a complicated process, dependent on the patient's underlying health and nutritional status and also upon the clinician's ability to recognize stages of wound healing. For appropriate management, an understanding of the basic physiology of wound healing is necessary. © 2010 Elsevier Ltd. All rights reserved.","author":[{"dropping-particle":"","family":"Beldon","given":"Pauline","non-dropping-particle":"","parse-names":false,"suffix":""}],"container-title":"Surgery","id":"ITEM-1","issue":"9","issued":{"date-parts":[["2010"]]},"page":"409-412","title":"Basic science of wound healing","type":"article-journal","volume":"28"}}],"schema":"https://github.com/citation-style-language/schema/raw/master/csl-citation.json"} </w:instrText>
      </w:r>
      <w:r w:rsidRPr="000D12C7">
        <w:fldChar w:fldCharType="separate"/>
      </w:r>
      <w:r w:rsidR="00DA7707" w:rsidRPr="00DA7707">
        <w:rPr>
          <w:vertAlign w:val="superscript"/>
        </w:rPr>
        <w:t>69,76,77</w:t>
      </w:r>
      <w:r w:rsidRPr="000D12C7">
        <w:fldChar w:fldCharType="end"/>
      </w:r>
      <w:r w:rsidRPr="000D12C7">
        <w:t xml:space="preserve"> Granulation tissue is comprised of macrophages, fibroblasts, and blood vessels and serves as the foundation for scar tissue development.</w:t>
      </w:r>
      <w:r w:rsidRPr="000D12C7">
        <w:fldChar w:fldCharType="begin" w:fldLock="1"/>
      </w:r>
      <w:r w:rsidR="009F3351">
        <w:instrText xml:space="preserve"> ADDIN ZOTERO_ITEM CSL_CITATION {"citationID":"1Ad647qF","properties":{"formattedCitation":"\\super 69\\nosupersub{}","plainCitation":"69","noteIndex":0},"citationItems":[{"id":67,"uris":["http://zotero.org/users/6281125/items/PFFZXVJM"],"uri":["http://zotero.org/users/6281125/items/PFFZXVJM"],"itemData":{"id":67,"type":"article-journal","abstract":"THE primary function of the skin is to serve as a protective barrier against the environ- ment. Loss of the integrity of large portions of the skin as a result of injury or illness may lead to major disability or even death. Every year in the Unit- ed States more than 1.25 million people have burns 1 and 6.5 million have chronic skin ulcers caused by pressure, venous stasis, or diabetes mellitus. 2 The primary goals of the treatment of wounds are rapid wound closure and a functional and aestheti- cally satisfactory scar. Recent advances in cellular and molecular biology have greatly expanded our under- standing of the biologic processes involved in wound repair and tissue regeneration 3 and have led to im- provements in wound care. We review here the biol- ogy of the healing of traumatic and nontraumatic wounds and discuss the use of skin substitutes and growth factors to promote wound healing.","container-title":"The New England Journal of Medicine","issue":"1","page":"738-746","title":"Mechanisms of disease: cutaneous wound healing","volume":"341","author":[{"family":"Singer","given":"Adam J."},{"family":"Clark","given":"Richard"}],"issued":{"date-parts":[["1999"]]}}}],"schema":"https://github.com/citation-style-language/schema/raw/master/csl-citation.json"} </w:instrText>
      </w:r>
      <w:r w:rsidRPr="000D12C7">
        <w:fldChar w:fldCharType="separate"/>
      </w:r>
      <w:r w:rsidR="009F3351" w:rsidRPr="009F3351">
        <w:rPr>
          <w:vertAlign w:val="superscript"/>
        </w:rPr>
        <w:t>69</w:t>
      </w:r>
      <w:r w:rsidRPr="000D12C7">
        <w:fldChar w:fldCharType="end"/>
      </w:r>
      <w:r w:rsidRPr="000D12C7">
        <w:t xml:space="preserve"> Macrophages supply a continuous source of growth factors such as vascular endothelia</w:t>
      </w:r>
      <w:r>
        <w:t>l</w:t>
      </w:r>
      <w:r w:rsidRPr="000D12C7">
        <w:t xml:space="preserve"> growth factor (VEGF) to induce the growth of new blood vessels in a process called angiogenesis. The newly formed vessels provide oxygen and nutrition to the growing tissue. Macrophages also release TGF-β</w:t>
      </w:r>
      <w:r>
        <w:t xml:space="preserve"> and</w:t>
      </w:r>
      <w:r w:rsidRPr="000D12C7">
        <w:t xml:space="preserve"> fibroblast growth factor (FGF) </w:t>
      </w:r>
      <w:r>
        <w:t>to</w:t>
      </w:r>
      <w:r w:rsidRPr="000D12C7">
        <w:t xml:space="preserve"> recruit and proliferate fibroblasts to the wound site in a process known as fibroplasia.</w:t>
      </w:r>
      <w:r w:rsidRPr="000D12C7">
        <w:fldChar w:fldCharType="begin" w:fldLock="1"/>
      </w:r>
      <w:r w:rsidR="00137460">
        <w:instrText xml:space="preserve"> ADDIN ZOTERO_ITEM CSL_CITATION {"citationID":"bAiWiM8z","properties":{"formattedCitation":"\\super 69\\nosupersub{}","plainCitation":"69","noteIndex":0},"citationItems":[{"id":67,"uris":["http://zotero.org/users/6281125/items/PFFZXVJM"],"uri":["http://zotero.org/users/6281125/items/PFFZXVJM"],"itemData":{"id":67,"type":"article-journal","abstract":"THE primary function of the skin is to serve as a protective barrier against the environ- ment. Loss of the integrity of large portions of the skin as a result of injury or illness may lead to major disability or even death. Every year in the Unit- ed States more than 1.25 million people have burns 1 and 6.5 million have chronic skin ulcers caused by pressure, venous stasis, or diabetes mellitus. 2 The primary goals of the treatment of wounds are rapid wound closure and a functional and aestheti- cally satisfactory scar. Recent advances in cellular and molecular biology have greatly expanded our under- standing of the biologic processes involved in wound repair and tissue regeneration 3 and have led to im- provements in wound care. We review here the biol- ogy of the healing of traumatic and nontraumatic wounds and discuss the use of skin substitutes and growth factors to promote wound healing.","container-title":"The New England Journal of Medicine","issue":"1","page":"738-746","title":"Mechanisms of disease: cutaneous wound healing","volume":"341","author":[{"family":"Singer","given":"Adam J."},{"family":"Clark","given":"Richard"}],"issued":{"date-parts":[["1999"]]}}}],"schema":"https://github.com/citation-style-language/schema/raw/master/csl-citation.json"} </w:instrText>
      </w:r>
      <w:r w:rsidRPr="000D12C7">
        <w:fldChar w:fldCharType="separate"/>
      </w:r>
      <w:r w:rsidR="00137460" w:rsidRPr="00137460">
        <w:rPr>
          <w:vertAlign w:val="superscript"/>
        </w:rPr>
        <w:t>69</w:t>
      </w:r>
      <w:r w:rsidRPr="000D12C7">
        <w:fldChar w:fldCharType="end"/>
      </w:r>
      <w:r w:rsidRPr="000D12C7">
        <w:t xml:space="preserve">  Fibroblasts are responsible for the production of the </w:t>
      </w:r>
      <w:r>
        <w:t>ECM</w:t>
      </w:r>
      <w:r w:rsidRPr="000D12C7">
        <w:t xml:space="preserve"> components including collagen types </w:t>
      </w:r>
      <w:r w:rsidR="003D6D34">
        <w:t>I</w:t>
      </w:r>
      <w:r w:rsidRPr="000D12C7">
        <w:t xml:space="preserve"> and III, fibronectin, elastin, </w:t>
      </w:r>
      <w:r>
        <w:t xml:space="preserve">and </w:t>
      </w:r>
      <w:r w:rsidR="003D6D34">
        <w:t>HA</w:t>
      </w:r>
      <w:r w:rsidRPr="000D12C7">
        <w:t>.</w:t>
      </w:r>
      <w:r w:rsidRPr="000D12C7">
        <w:fldChar w:fldCharType="begin" w:fldLock="1"/>
      </w:r>
      <w:r w:rsidR="00DA7707">
        <w:instrText xml:space="preserve"> ADDIN ZOTERO_ITEM CSL_CITATION {"citationID":"IbLZwTSP","properties":{"formattedCitation":"\\super 66,78\\nosupersub{}","plainCitation":"66,78","noteIndex":0},"citationItems":[{"id":325,"uris":["http://zotero.org/users/6281125/items/G2F7MTXY"],"uri":["http://zotero.org/users/6281125/items/G2F7MTXY"],"itemData":{"id":325,"type":"article-journal","abstract":"The basic science of wound healing is largely omitted from the curriculum of many voice clinicians. This fact is relatively disheartening as most therapeutic manipulation in the realm of laryngology and voice disorders deals with injured tissue. Therefore, the selection of therapeutic tasks for persons with vocal injury should ideally be informed by basic science in wound healing. Recently, several investigators have initiated lines of research to determine the course of vocal fold wound healing and the potential role of therapeutic agents, including behavioral agents. The current review seeks to provide a foundation of basic wound healing science and present the most current data regarding the wound healing process in the vocal folds.","container-title":"Journal of Voice","DOI":"10.1016/j.jvoice.2005.08.005","issue":"3","page":"432-442","title":"Vocal fold wound healing: A review for clinicians","volume":"20","author":[{"family":"Branski","given":"R"},{"family":"Verdolini","given":"K"},{"family":"Sandulache","given":"V"},{"family":"Rosen","given":"Clark"},{"family":"Hebda","given":"P"}],"issued":{"date-parts":[["2006"]]}}},{"id":"cN3eXgV6/GeNnZ8UF","uris":["http://www.mendeley.com/documents/?uuid=9bcaca6e-3fd6-4af8-b060-52c08e36102e"],"uri":["http://www.mendeley.com/documents/?uuid=9bcaca6e-3fd6-4af8-b060-52c08e36102e"],"itemData":{"DOI":"10.1016/0738-081X(84)90022-1","ISSN":"07338635","PMID":"8222347","abstract":"The field of wound repair continues to grow at an astounding pace. In this review we have discussed both the basic science and the clinical aspects of wound healing. The basic science section details the three phases of wound healing. The inflammatory phase is marked by platelet accumulation, coagulation, and leukocyte migration. The proliferative phase is characterized by re-epithelialization, angiogenesis, fibroplasia, and wound contraction. Finally, the remodeling phase takes place over a period of months, during which the dermis responds to injury with the production of collagen and matrix proteins and then returns to its preinjury phenotype. The second part of this review outlines selected practical clinical aspects of wound repair. That section is subdivided into acute and chronic wounds. We describe the difference between primary and secondary intention healing and discuss factors that affect healing in both. We also describe our systemic approach to dealing with patients with chronic wounds and present our problem-oriented treatment program based on the cause of the chronic wound.","author":[{"dropping-particle":"","family":"Kirsner","given":"R. S.","non-dropping-particle":"","parse-names":false,"suffix":""},{"dropping-particle":"","family":"Eaglstein","given":"W. H.","non-dropping-particle":"","parse-names":false,"suffix":""}],"container-title":"Dermatologic Clinics","id":"ITEM-1","issued":{"date-parts":[["1993"]]},"title":"The wound healing process","type":"article"}}],"schema":"https://github.com/citation-style-language/schema/raw/master/csl-citation.json"} </w:instrText>
      </w:r>
      <w:r w:rsidRPr="000D12C7">
        <w:fldChar w:fldCharType="separate"/>
      </w:r>
      <w:r w:rsidR="00DA7707" w:rsidRPr="00DA7707">
        <w:rPr>
          <w:vertAlign w:val="superscript"/>
        </w:rPr>
        <w:t>66,78</w:t>
      </w:r>
      <w:r w:rsidRPr="000D12C7">
        <w:fldChar w:fldCharType="end"/>
      </w:r>
      <w:r w:rsidRPr="000D12C7">
        <w:t xml:space="preserve"> Although the ECM components are immature and disorganized at this time, the ECM provides structural support </w:t>
      </w:r>
      <w:r>
        <w:t xml:space="preserve">for </w:t>
      </w:r>
      <w:r w:rsidRPr="000D12C7">
        <w:t>surrounding cells and provides a reservoir for cell migration, proliferation, and differentiation.</w:t>
      </w:r>
      <w:r w:rsidRPr="000D12C7">
        <w:fldChar w:fldCharType="begin" w:fldLock="1"/>
      </w:r>
      <w:r w:rsidR="00501347">
        <w:instrText xml:space="preserve"> ADDIN ZOTERO_ITEM CSL_CITATION {"citationID":"gmAEgWrv","properties":{"formattedCitation":"\\super 66,74\\nosupersub{}","plainCitation":"66,74","noteIndex":0},"citationItems":[{"id":325,"uris":["http://zotero.org/users/6281125/items/G2F7MTXY"],"uri":["http://zotero.org/users/6281125/items/G2F7MTXY"],"itemData":{"id":325,"type":"article-journal","abstract":"The basic science of wound healing is largely omitted from the curriculum of many voice clinicians. This fact is relatively disheartening as most therapeutic manipulation in the realm of laryngology and voice disorders deals with injured tissue. Therefore, the selection of therapeutic tasks for persons with vocal injury should ideally be informed by basic science in wound healing. Recently, several investigators have initiated lines of research to determine the course of vocal fold wound healing and the potential role of therapeutic agents, including behavioral agents. The current review seeks to provide a foundation of basic wound healing science and present the most current data regarding the wound healing process in the vocal folds.","container-title":"Journal of Voice","DOI":"10.1016/j.jvoice.2005.08.005","issue":"3","page":"432-442","title":"Vocal fold wound healing: A review for clinicians","volume":"20","author":[{"family":"Branski","given":"R"},{"family":"Verdolini","given":"K"},{"family":"Sandulache","given":"V"},{"family":"Rosen","given":"Clark"},{"family":"Hebda","given":"P"}],"issued":{"date-parts":[["2006"]]}}},{"id":"cN3eXgV6/wjfDHseH","uris":["http://www.mendeley.com/documents/?uuid=98795308-6139-4f98-9f64-6dff9cd6a826"],"uri":["http://www.mendeley.com/documents/?uuid=98795308-6139-4f98-9f64-6dff9cd6a826"],"itemData":{"DOI":"10.1016/j.clindermatol.2006.09.007","ISSN":"0738081X","PMID":"17276196","abstract":"Wound healing is a complex process that can be divided into at least 3 continuous and overlapping processes: an inflammatory reaction, a proliferative process leading to tissue restoration, and, eventually, tissue remodeling. Wound healing processes are strictly regulated by multiple growth factors and cytokines released at the wound site. Although the desirable final result of coordinated healing would be the formation of tissue with a similar structure and comparable functions as with intact skin, regeneration is uncommon (with notable exceptions such as early fetal healing); healing however results in a structurally and functionally satisfactory but not identical outcome. Alterations that disrupt controlled healing processes would extend tissue damage and repair. The pathobiologic states may lead to chronic or nonhealing wounds or excessive fibrosis. © 2007 Elsevier Inc. All rights reserved.","author":[{"dropping-particle":"","family":"Li","given":"Jie","non-dropping-particle":"","parse-names":false,"suffix":""},{"dropping-particle":"","family":"Chen","given":"Juan","non-dropping-particle":"","parse-names":false,"suffix":""},{"dropping-particle":"","family":"Kirsner","given":"Robert","non-dropping-particle":"","parse-names":false,"suffix":""}],"container-title":"Clinics in Dermatology","id":"ITEM-1","issued":{"date-parts":[["2007"]]},"title":"Pathophysiology of acute wound healing","type":"article-journal"}}],"schema":"https://github.com/citation-style-language/schema/raw/master/csl-citation.json"} </w:instrText>
      </w:r>
      <w:r w:rsidRPr="000D12C7">
        <w:fldChar w:fldCharType="separate"/>
      </w:r>
      <w:r w:rsidR="00501347" w:rsidRPr="00501347">
        <w:rPr>
          <w:vertAlign w:val="superscript"/>
        </w:rPr>
        <w:t>66,74</w:t>
      </w:r>
      <w:r w:rsidRPr="000D12C7">
        <w:fldChar w:fldCharType="end"/>
      </w:r>
    </w:p>
    <w:p w14:paraId="3DA5FA44" w14:textId="274E2208" w:rsidR="00B873E7" w:rsidRPr="000D12C7" w:rsidRDefault="00B873E7" w:rsidP="00B873E7">
      <w:pPr>
        <w:pStyle w:val="NormalWeb"/>
        <w:ind w:right="-14"/>
      </w:pPr>
      <w:r w:rsidRPr="000D12C7">
        <w:t>In healthy tissue, collagen type I constitutes approximately 80% of the collagens in the ECM, while collagen type III constitutes 10%.</w:t>
      </w:r>
      <w:r w:rsidRPr="000D12C7">
        <w:fldChar w:fldCharType="begin" w:fldLock="1"/>
      </w:r>
      <w:r w:rsidR="00E1026B">
        <w:instrText xml:space="preserve"> ADDIN ZOTERO_ITEM CSL_CITATION {"citationID":"5wyObVCZ","properties":{"formattedCitation":"\\super 74\\nosupersub{}","plainCitation":"74","noteIndex":0},"citationItems":[{"id":"cN3eXgV6/wjfDHseH","uris":["http://www.mendeley.com/documents/?uuid=98795308-6139-4f98-9f64-6dff9cd6a826"],"uri":["http://www.mendeley.com/documents/?uuid=98795308-6139-4f98-9f64-6dff9cd6a826"],"itemData":{"DOI":"10.1016/j.clindermatol.2006.09.007","ISSN":"0738081X","PMID":"17276196","abstract":"Wound healing is a complex process that can be divided into at least 3 continuous and overlapping processes: an inflammatory reaction, a proliferative process leading to tissue restoration, and, eventually, tissue remodeling. Wound healing processes are strictly regulated by multiple growth factors and cytokines released at the wound site. Although the desirable final result of coordinated healing would be the formation of tissue with a similar structure and comparable functions as with intact skin, regeneration is uncommon (with notable exceptions such as early fetal healing); healing however results in a structurally and functionally satisfactory but not identical outcome. Alterations that disrupt controlled healing processes would extend tissue damage and repair. The pathobiologic states may lead to chronic or nonhealing wounds or excessive fibrosis. © 2007 Elsevier Inc. All rights reserved.","author":[{"dropping-particle":"","family":"Li","given":"Jie","non-dropping-particle":"","parse-names":false,"suffix":""},{"dropping-particle":"","family":"Chen","given":"Juan","non-dropping-particle":"","parse-names":false,"suffix":""},{"dropping-particle":"","family":"Kirsner","given":"Robert","non-dropping-particle":"","parse-names":false,"suffix":""}],"container-title":"Clinics in Dermatology","id":"ITEM-1","issued":{"date-parts":[["2007"]]},"title":"Pathophysiology of acute wound healing","type":"article-journal"}}],"schema":"https://github.com/citation-style-language/schema/raw/master/csl-citation.json"} </w:instrText>
      </w:r>
      <w:r w:rsidRPr="000D12C7">
        <w:fldChar w:fldCharType="separate"/>
      </w:r>
      <w:r w:rsidR="00E940BB" w:rsidRPr="00E940BB">
        <w:rPr>
          <w:vertAlign w:val="superscript"/>
        </w:rPr>
        <w:t>74</w:t>
      </w:r>
      <w:r w:rsidRPr="000D12C7">
        <w:fldChar w:fldCharType="end"/>
      </w:r>
      <w:r w:rsidRPr="000D12C7">
        <w:t xml:space="preserve">  However, during the proliferat</w:t>
      </w:r>
      <w:r>
        <w:t>ion</w:t>
      </w:r>
      <w:r w:rsidRPr="000D12C7">
        <w:t xml:space="preserve"> phase, collagen type III is the main collagen type synthesized. The collagens bind to fibronectin in the </w:t>
      </w:r>
      <w:r>
        <w:t>ECM</w:t>
      </w:r>
      <w:r w:rsidRPr="000D12C7">
        <w:t xml:space="preserve"> and predominantly replac</w:t>
      </w:r>
      <w:r>
        <w:t>e</w:t>
      </w:r>
      <w:r w:rsidRPr="000D12C7">
        <w:t xml:space="preserve"> the provisional fibrin scaffolding.</w:t>
      </w:r>
      <w:r w:rsidRPr="000D12C7">
        <w:fldChar w:fldCharType="begin" w:fldLock="1"/>
      </w:r>
      <w:r w:rsidR="00DA7707">
        <w:instrText xml:space="preserve"> ADDIN ZOTERO_ITEM CSL_CITATION {"citationID":"Son2RvZ0","properties":{"formattedCitation":"\\super 79\\nosupersub{}","plainCitation":"79","noteIndex":0},"citationItems":[{"id":"cN3eXgV6/Mv9WQBHg","uris":["http://www.mendeley.com/documents/?uuid=9164813c-84a2-431c-91b8-2c3b46ae3a08"],"uri":["http://www.mendeley.com/documents/?uuid=9164813c-84a2-431c-91b8-2c3b46ae3a08"],"itemData":{"ISSN":"0021-9533","PMID":"7622608","abstract":"Transforming growth factor-beta, a potent modulator of cell function, induces fibroblasts cultured on plastic to increase collagen synthesis. In 5- and 7-day porcine skin wounds, which have minimal to moderate collagen matrix, respectively, transforming growth factor-beta and type I procollagen were coordinately expressed throughout the granulation tissue. However, in 10-day collagen-rich granulation tissue type I procollagen expression diminished despite persistence of transforming growth factor-beta. To investigate whether collagen matrix attenuates the collagen-synthetic response of fibroblasts to transforming growth factor-beta, we cultured human dermal fibroblasts in conditions that simulate collagen-rich granulation tissue. Therefore, human dermal fibroblasts were suspended in attached collagen gels and collagen and noncollagen production was assayed in the absence and presence of transforming growth factor-beta. Although transforming growth factor-beta stimulated collagen synthesis by fibroblasts cultured in the collagen gels, these fibroblasts consistently produced less collagen than similarly treated fibroblasts cultured on plastic. This phenomenon was not secondary to nonspecific binding of transforming growth factor-beta to the collagen matrix. Fibroblasts cultured in a fibrin gel responded to transforming growth factor-beta similarly to fibroblasts cultured on plastic. Using immunofluorescence probes to type I procollagen, we observed that transforming growth factor-beta increased type I procollagen expression in most fibroblasts cultured on plastic, but only in occasional fibroblasts cultured in collagen gels. From these data we conclude that collagen matrices attenuate the collagen synthetic response of fibroblast to transforming growth factor-beta in vitro and possibly in vivo.","author":[{"dropping-particle":"","family":"Clark","given":"R A","non-dropping-particle":"","parse-names":false,"suffix":""},{"dropping-particle":"","family":"Nielsen","given":"L D","non-dropping-particle":"","parse-names":false,"suffix":""},{"dropping-particle":"","family":"Welch","given":"M P","non-dropping-particle":"","parse-names":false,"suffix":""},{"dropping-particle":"","family":"McPherson","given":"J M","non-dropping-particle":"","parse-names":false,"suffix":""}],"container-title":"Journal of cell science","id":"ITEM-1","issued":{"date-parts":[["1995"]]},"title":"Collagen matrices attenuate the collagen-synthetic response of cultured fibroblasts to TGF-beta.","type":"article-journal"}}],"schema":"https://github.com/citation-style-language/schema/raw/master/csl-citation.json"} </w:instrText>
      </w:r>
      <w:r w:rsidRPr="000D12C7">
        <w:fldChar w:fldCharType="separate"/>
      </w:r>
      <w:r w:rsidR="00DA7707" w:rsidRPr="00DA7707">
        <w:rPr>
          <w:vertAlign w:val="superscript"/>
        </w:rPr>
        <w:t>79</w:t>
      </w:r>
      <w:r w:rsidRPr="000D12C7">
        <w:fldChar w:fldCharType="end"/>
      </w:r>
      <w:r w:rsidRPr="000D12C7">
        <w:t xml:space="preserve"> </w:t>
      </w:r>
    </w:p>
    <w:p w14:paraId="237ED31A" w14:textId="76CED84D" w:rsidR="00B873E7" w:rsidRDefault="00B873E7" w:rsidP="00B873E7">
      <w:pPr>
        <w:pStyle w:val="NormalWeb"/>
        <w:ind w:right="-14"/>
      </w:pPr>
      <w:r w:rsidRPr="000D12C7">
        <w:t xml:space="preserve">Fibroblasts also produce several growth factors </w:t>
      </w:r>
      <w:r>
        <w:t>that</w:t>
      </w:r>
      <w:r w:rsidRPr="000D12C7">
        <w:t xml:space="preserve"> aid in tissue re-epithelialization. Re-epithelialization is the process of the re</w:t>
      </w:r>
      <w:r>
        <w:t>-</w:t>
      </w:r>
      <w:r w:rsidRPr="000D12C7">
        <w:t>establishment of a function</w:t>
      </w:r>
      <w:r>
        <w:t>al</w:t>
      </w:r>
      <w:r w:rsidRPr="000D12C7">
        <w:t xml:space="preserve"> epithelial barrier through proliferation, migration, and differentiation of epithelial cells at the wound’s edge and can only be accomplished in the presence of </w:t>
      </w:r>
      <w:r>
        <w:t xml:space="preserve">the </w:t>
      </w:r>
      <w:r w:rsidRPr="000D12C7">
        <w:t>living, vascular granulation tissue.</w:t>
      </w:r>
      <w:r w:rsidRPr="000D12C7">
        <w:fldChar w:fldCharType="begin" w:fldLock="1"/>
      </w:r>
      <w:r w:rsidR="00DA7707">
        <w:instrText xml:space="preserve"> ADDIN ZOTERO_ITEM CSL_CITATION {"citationID":"VBEss9id","properties":{"formattedCitation":"\\super 80\\nosupersub{}","plainCitation":"80","noteIndex":0},"citationItems":[{"id":"cN3eXgV6/xXha9VBq","uris":["http://www.mendeley.com/documents/?uuid=bb654b92-3c7f-3a10-802d-e75297405907"],"uri":["http://www.mendeley.com/documents/?uuid=bb654b92-3c7f-3a10-802d-e75297405907"],"itemData":{"DOI":"10.1016/j.jaad.2009.10.048","abstract":"Delayed wound healing is one of the major therapeutic and economic issues in medicine today. Cutaneous wound healing is an extremely well-regulated and complex process basically divided into 3 phases: inflammation, proliferation, and tissue remodeling. Unfortunately, we still do not understand this process precisely enough to give direction effectively to impaired healing processes. There have been many new developments in wound healing that provide fascinating insights and may improve our ability to manage clinical problems. Our goal is to acquaint the reader with selected major novel findings about cutaneous wound healing that have been published since the beginning of the new millennium. We discuss advances in areas such as genetics, proteases, cytokines, chemokines, and regulatory peptides, as well as therapeutic strategies, all set in the framework of the different phases of wound healing. (J Am Acad Dermatol 2010;63:866-81.)","author":[{"dropping-particle":"","family":"Schreml","given":"Stephan","non-dropping-particle":"","parse-names":false,"suffix":""},{"dropping-particle":"","family":"Szeimies","given":"Rolf-Markus","non-dropping-particle":"","parse-names":false,"suffix":""},{"dropping-particle":"","family":"Prantl","given":"Lukas","non-dropping-particle":"","parse-names":false,"suffix":""},{"dropping-particle":"","family":"Landthaler","given":"Michael","non-dropping-particle":"","parse-names":false,"suffix":""},{"dropping-particle":"","family":"Babilas","given":"Philipp","non-dropping-particle":"","parse-names":false,"suffix":""}],"container-title":"Journal of American Dermatology","id":"ITEM-1","issued":{"date-parts":[["2010"]]},"note":"THis one is a bit dense","page":"866-881","title":"Wound healing in the 21st century","type":"article-journal","volume":"63"}}],"schema":"https://github.com/citation-style-language/schema/raw/master/csl-citation.json"} </w:instrText>
      </w:r>
      <w:r w:rsidRPr="000D12C7">
        <w:fldChar w:fldCharType="separate"/>
      </w:r>
      <w:r w:rsidR="00DA7707" w:rsidRPr="00DA7707">
        <w:rPr>
          <w:vertAlign w:val="superscript"/>
        </w:rPr>
        <w:t>80</w:t>
      </w:r>
      <w:r w:rsidRPr="000D12C7">
        <w:fldChar w:fldCharType="end"/>
      </w:r>
      <w:r w:rsidRPr="000D12C7">
        <w:t xml:space="preserve"> Fibroblasts and macrophages release keratinocyte growth factor (KGF) and TGF-α, respectively, to induce epithelization by attracting and proliferating keratinocytes</w:t>
      </w:r>
      <w:r w:rsidR="00B37BEB">
        <w:t xml:space="preserve"> -</w:t>
      </w:r>
      <w:r w:rsidRPr="000D12C7">
        <w:t xml:space="preserve"> the most prevalent cells of the epidermis.</w:t>
      </w:r>
      <w:r w:rsidRPr="000D12C7">
        <w:fldChar w:fldCharType="begin" w:fldLock="1"/>
      </w:r>
      <w:r w:rsidR="00C76161">
        <w:instrText xml:space="preserve"> ADDIN ZOTERO_ITEM CSL_CITATION {"citationID":"TxL2xScL","properties":{"formattedCitation":"\\super 77\\nosupersub{}","plainCitation":"77","noteIndex":0},"citationItems":[{"id":"cN3eXgV6/z8VKE5AV","uris":["http://www.mendeley.com/documents/?uuid=0d13636d-6fb5-4fbe-8f5e-ed8cb6e93837"],"uri":["http://www.mendeley.com/documents/?uuid=0d13636d-6fb5-4fbe-8f5e-ed8cb6e93837"],"itemData":{"DOI":"10.1016/j.mpsur.2010.05.007","ISSN":"02639319","abstract":"Wound healing is a complicated process, dependent on the patient's underlying health and nutritional status and also upon the clinician's ability to recognize stages of wound healing. For appropriate management, an understanding of the basic physiology of wound healing is necessary. © 2010 Elsevier Ltd. All rights reserved.","author":[{"dropping-particle":"","family":"Beldon","given":"Pauline","non-dropping-particle":"","parse-names":false,"suffix":""}],"container-title":"Surgery","id":"ITEM-1","issue":"9","issued":{"date-parts":[["2010"]]},"page":"409-412","title":"Basic science of wound healing","type":"article-journal","volume":"28"}}],"schema":"https://github.com/citation-style-language/schema/raw/master/csl-citation.json"} </w:instrText>
      </w:r>
      <w:r w:rsidRPr="000D12C7">
        <w:fldChar w:fldCharType="separate"/>
      </w:r>
      <w:r w:rsidR="00C76161" w:rsidRPr="00C76161">
        <w:rPr>
          <w:vertAlign w:val="superscript"/>
        </w:rPr>
        <w:t>77</w:t>
      </w:r>
      <w:r w:rsidRPr="000D12C7">
        <w:fldChar w:fldCharType="end"/>
      </w:r>
      <w:r w:rsidRPr="000D12C7">
        <w:t xml:space="preserve"> The proliferating and migrating keratinocytes seal the wound site and create a </w:t>
      </w:r>
      <w:r w:rsidR="00A42B7B">
        <w:t>BMZ</w:t>
      </w:r>
      <w:r w:rsidRPr="000D12C7">
        <w:t xml:space="preserve"> that anchors down the epidermis to the dermal connective tissue. Epithelialization is usually complete </w:t>
      </w:r>
      <w:r w:rsidR="00BA38A8">
        <w:t>in</w:t>
      </w:r>
      <w:r w:rsidRPr="000D12C7">
        <w:t xml:space="preserve"> </w:t>
      </w:r>
      <w:r>
        <w:t>3</w:t>
      </w:r>
      <w:r w:rsidR="00332018">
        <w:t xml:space="preserve"> to </w:t>
      </w:r>
      <w:r>
        <w:t>4</w:t>
      </w:r>
      <w:r w:rsidR="00332018">
        <w:t>-</w:t>
      </w:r>
      <w:r>
        <w:t>days.</w:t>
      </w:r>
      <w:r>
        <w:fldChar w:fldCharType="begin"/>
      </w:r>
      <w:r w:rsidR="00DA7707">
        <w:instrText xml:space="preserve"> ADDIN ZOTERO_ITEM CSL_CITATION {"citationID":"j2yRSE9N","properties":{"formattedCitation":"\\super 81,82\\nosupersub{}","plainCitation":"81,82","noteIndex":0},"citationItems":[{"id":2523,"uris":["http://zotero.org/users/6281125/items/SEPDC3Z8"],"uri":["http://zotero.org/users/6281125/items/SEPDC3Z8"],"itemData":{"id":2523,"type":"article-journal","container-title":"International review of cell and molecular biology","ISSN":"1937-6448","journalAbbreviation":"International review of cell and molecular biology","note":"publisher: Elsevier","page":"129-169","title":"New insights into vertebrate skin regeneration","volume":"310","author":[{"family":"Seifert","given":"Ashley W"},{"family":"Maden","given":"Malcolm"}],"issued":{"date-parts":[["2014"]]}}},{"id":2522,"uris":["http://zotero.org/users/6281125/items/YJA2QYQB"],"uri":["http://zotero.org/users/6281125/items/YJA2QYQB"],"itemData":{"id":2522,"type":"chapter","container-title":"Physiology and Medicine of Hyperbaric Oxygen Therapy","event-place":"Philadelphia","page":"203-228","publisher":"Saunders","publisher-place":"Philadelphia","title":"Oxygen and the basic mechanisms of wound healing","author":[{"family":"Hopf","given":"Harriet W"},{"family":"Kelly","given":"Matthew"},{"family":"Shapshak","given":"Dag"}],"issued":{"date-parts":[["2008"]]}}}],"schema":"https://github.com/citation-style-language/schema/raw/master/csl-citation.json"} </w:instrText>
      </w:r>
      <w:r>
        <w:fldChar w:fldCharType="separate"/>
      </w:r>
      <w:r w:rsidR="00DA7707" w:rsidRPr="00DA7707">
        <w:rPr>
          <w:vertAlign w:val="superscript"/>
        </w:rPr>
        <w:t>81,82</w:t>
      </w:r>
      <w:r>
        <w:fldChar w:fldCharType="end"/>
      </w:r>
    </w:p>
    <w:p w14:paraId="6629616C" w14:textId="075FFBD0" w:rsidR="00B87300" w:rsidRDefault="00B873E7" w:rsidP="00B87300">
      <w:pPr>
        <w:pStyle w:val="NormalWeb"/>
        <w:ind w:right="-14"/>
      </w:pPr>
      <w:r w:rsidRPr="000D12C7">
        <w:t>At about 2</w:t>
      </w:r>
      <w:r w:rsidR="001B2F50">
        <w:t>-</w:t>
      </w:r>
      <w:r w:rsidRPr="000D12C7">
        <w:t>weeks post</w:t>
      </w:r>
      <w:r>
        <w:t>-</w:t>
      </w:r>
      <w:r w:rsidRPr="000D12C7">
        <w:t>injury, the wound site continues to fill with granulation tissue</w:t>
      </w:r>
      <w:r w:rsidR="00BA38A8">
        <w:t>,</w:t>
      </w:r>
      <w:r w:rsidRPr="000D12C7">
        <w:t xml:space="preserve"> and the margins of the wound contract. Wound contraction is characterized by fibroblast differentiation to their myofibroblast phenotype</w:t>
      </w:r>
      <w:r>
        <w:t>, which ha</w:t>
      </w:r>
      <w:r w:rsidR="00BA38A8">
        <w:t>s</w:t>
      </w:r>
      <w:r w:rsidRPr="000D12C7">
        <w:t xml:space="preserve"> characteristics of both smooth muscle cells and fibroblasts. Myofibroblast cells bind to fibronectin in the ECM and connect to collagen fibers</w:t>
      </w:r>
      <w:r>
        <w:t xml:space="preserve"> in the </w:t>
      </w:r>
      <w:r w:rsidRPr="00B873E7">
        <w:t>fibrin clot/granulation tissue</w:t>
      </w:r>
      <w:r>
        <w:t xml:space="preserve">, </w:t>
      </w:r>
      <w:r w:rsidRPr="000D12C7">
        <w:t>resulting in wound contraction</w:t>
      </w:r>
      <w:r w:rsidR="002806A4">
        <w:t xml:space="preserve"> (Figure 5)</w:t>
      </w:r>
      <w:r w:rsidRPr="000D12C7">
        <w:t>.</w:t>
      </w:r>
      <w:r w:rsidRPr="000D12C7">
        <w:fldChar w:fldCharType="begin" w:fldLock="1"/>
      </w:r>
      <w:r w:rsidR="00E1026B">
        <w:instrText xml:space="preserve"> ADDIN ZOTERO_ITEM CSL_CITATION {"citationID":"OeKzWYFV","properties":{"formattedCitation":"\\super 74\\nosupersub{}","plainCitation":"74","noteIndex":0},"citationItems":[{"id":"cN3eXgV6/wjfDHseH","uris":["http://www.mendeley.com/documents/?uuid=98795308-6139-4f98-9f64-6dff9cd6a826"],"uri":["http://www.mendeley.com/documents/?uuid=98795308-6139-4f98-9f64-6dff9cd6a826"],"itemData":{"DOI":"10.1016/j.clindermatol.2006.09.007","ISSN":"0738081X","PMID":"17276196","abstract":"Wound healing is a complex process that can be divided into at least 3 continuous and overlapping processes: an inflammatory reaction, a proliferative process leading to tissue restoration, and, eventually, tissue remodeling. Wound healing processes are strictly regulated by multiple growth factors and cytokines released at the wound site. Although the desirable final result of coordinated healing would be the formation of tissue with a similar structure and comparable functions as with intact skin, regeneration is uncommon (with notable exceptions such as early fetal healing); healing however results in a structurally and functionally satisfactory but not identical outcome. Alterations that disrupt controlled healing processes would extend tissue damage and repair. The pathobiologic states may lead to chronic or nonhealing wounds or excessive fibrosis. © 2007 Elsevier Inc. All rights reserved.","author":[{"dropping-particle":"","family":"Li","given":"Jie","non-dropping-particle":"","parse-names":false,"suffix":""},{"dropping-particle":"","family":"Chen","given":"Juan","non-dropping-particle":"","parse-names":false,"suffix":""},{"dropping-particle":"","family":"Kirsner","given":"Robert","non-dropping-particle":"","parse-names":false,"suffix":""}],"container-title":"Clinics in Dermatology","id":"ITEM-1","issued":{"date-parts":[["2007"]]},"title":"Pathophysiology of acute wound healing","type":"article-journal"}}],"schema":"https://github.com/citation-style-language/schema/raw/master/csl-citation.json"} </w:instrText>
      </w:r>
      <w:r w:rsidRPr="000D12C7">
        <w:fldChar w:fldCharType="separate"/>
      </w:r>
      <w:r w:rsidR="00E940BB" w:rsidRPr="00E940BB">
        <w:rPr>
          <w:vertAlign w:val="superscript"/>
        </w:rPr>
        <w:t>74</w:t>
      </w:r>
      <w:r w:rsidRPr="000D12C7">
        <w:fldChar w:fldCharType="end"/>
      </w:r>
    </w:p>
    <w:p w14:paraId="67AAEC8C" w14:textId="77777777" w:rsidR="00B87300" w:rsidRDefault="00B87300" w:rsidP="00B87300">
      <w:pPr>
        <w:pStyle w:val="NormalWeb"/>
        <w:keepNext/>
        <w:ind w:right="-14" w:firstLine="0"/>
        <w:jc w:val="center"/>
      </w:pPr>
      <w:r>
        <w:rPr>
          <w:noProof/>
        </w:rPr>
        <w:drawing>
          <wp:inline distT="0" distB="0" distL="0" distR="0" wp14:anchorId="589966AE" wp14:editId="4288D420">
            <wp:extent cx="5858966" cy="3749965"/>
            <wp:effectExtent l="0" t="0" r="8890" b="3175"/>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01866" cy="3777423"/>
                    </a:xfrm>
                    <a:prstGeom prst="rect">
                      <a:avLst/>
                    </a:prstGeom>
                    <a:noFill/>
                    <a:ln>
                      <a:noFill/>
                    </a:ln>
                  </pic:spPr>
                </pic:pic>
              </a:graphicData>
            </a:graphic>
          </wp:inline>
        </w:drawing>
      </w:r>
    </w:p>
    <w:p w14:paraId="197C6473" w14:textId="3861D512" w:rsidR="003F07DA" w:rsidRPr="003F07DA" w:rsidRDefault="00B87300" w:rsidP="006C6169">
      <w:pPr>
        <w:pStyle w:val="Caption"/>
      </w:pPr>
      <w:bookmarkStart w:id="28" w:name="_Toc88218598"/>
      <w:r>
        <w:t xml:space="preserve">Figure </w:t>
      </w:r>
      <w:r>
        <w:fldChar w:fldCharType="begin"/>
      </w:r>
      <w:r>
        <w:instrText xml:space="preserve"> SEQ Figure \* ARABIC </w:instrText>
      </w:r>
      <w:r>
        <w:fldChar w:fldCharType="separate"/>
      </w:r>
      <w:r w:rsidR="00CD04FC">
        <w:t>5</w:t>
      </w:r>
      <w:r>
        <w:fldChar w:fldCharType="end"/>
      </w:r>
      <w:r>
        <w:t>. Illustration of proliferation phase of wound healing</w:t>
      </w:r>
      <w:bookmarkEnd w:id="28"/>
    </w:p>
    <w:p w14:paraId="2A4FBA37" w14:textId="2C8750AA" w:rsidR="00836F41" w:rsidRDefault="00836F41" w:rsidP="001468E1">
      <w:pPr>
        <w:pStyle w:val="Heading4"/>
      </w:pPr>
      <w:bookmarkStart w:id="29" w:name="_Toc88218514"/>
      <w:r>
        <w:t>Remodeling Phase</w:t>
      </w:r>
      <w:bookmarkEnd w:id="29"/>
      <w:r>
        <w:t xml:space="preserve"> </w:t>
      </w:r>
    </w:p>
    <w:p w14:paraId="64C4F998" w14:textId="6528A132" w:rsidR="00DD76EF" w:rsidRDefault="001D404B" w:rsidP="001D404B">
      <w:pPr>
        <w:pStyle w:val="NormalWeb"/>
        <w:ind w:right="-14"/>
      </w:pPr>
      <w:r w:rsidRPr="000D12C7">
        <w:t xml:space="preserve">The remodeling phase </w:t>
      </w:r>
      <w:r>
        <w:t>begins with</w:t>
      </w:r>
      <w:r w:rsidRPr="000D12C7">
        <w:t xml:space="preserve"> the replacement of the fibrin clot with granulation tissue</w:t>
      </w:r>
      <w:r>
        <w:t xml:space="preserve"> and starts</w:t>
      </w:r>
      <w:r w:rsidRPr="000D12C7">
        <w:t xml:space="preserve"> as early as 2</w:t>
      </w:r>
      <w:r w:rsidR="001B2F50">
        <w:t xml:space="preserve"> to </w:t>
      </w:r>
      <w:r w:rsidRPr="000D12C7">
        <w:t>3</w:t>
      </w:r>
      <w:r w:rsidR="001B2F50">
        <w:t>-</w:t>
      </w:r>
      <w:r w:rsidRPr="000D12C7">
        <w:t>days after injury and can last as long as 2</w:t>
      </w:r>
      <w:r w:rsidR="001B2F50">
        <w:t>-</w:t>
      </w:r>
      <w:r w:rsidRPr="000D12C7">
        <w:t>years.</w:t>
      </w:r>
      <w:r w:rsidRPr="000D12C7">
        <w:fldChar w:fldCharType="begin" w:fldLock="1"/>
      </w:r>
      <w:r w:rsidR="00DA7707">
        <w:instrText xml:space="preserve"> ADDIN ZOTERO_ITEM CSL_CITATION {"citationID":"j8DOwo0n","properties":{"formattedCitation":"\\super 80\\nosupersub{}","plainCitation":"80","noteIndex":0},"citationItems":[{"id":"cN3eXgV6/xXha9VBq","uris":["http://www.mendeley.com/documents/?uuid=bb654b92-3c7f-3a10-802d-e75297405907"],"uri":["http://www.mendeley.com/documents/?uuid=bb654b92-3c7f-3a10-802d-e75297405907"],"itemData":{"DOI":"10.1016/j.jaad.2009.10.048","abstract":"Delayed wound healing is one of the major therapeutic and economic issues in medicine today. Cutaneous wound healing is an extremely well-regulated and complex process basically divided into 3 phases: inflammation, proliferation, and tissue remodeling. Unfortunately, we still do not understand this process precisely enough to give direction effectively to impaired healing processes. There have been many new developments in wound healing that provide fascinating insights and may improve our ability to manage clinical problems. Our goal is to acquaint the reader with selected major novel findings about cutaneous wound healing that have been published since the beginning of the new millennium. We discuss advances in areas such as genetics, proteases, cytokines, chemokines, and regulatory peptides, as well as therapeutic strategies, all set in the framework of the different phases of wound healing. (J Am Acad Dermatol 2010;63:866-81.)","author":[{"dropping-particle":"","family":"Schreml","given":"Stephan","non-dropping-particle":"","parse-names":false,"suffix":""},{"dropping-particle":"","family":"Szeimies","given":"Rolf-Markus","non-dropping-particle":"","parse-names":false,"suffix":""},{"dropping-particle":"","family":"Prantl","given":"Lukas","non-dropping-particle":"","parse-names":false,"suffix":""},{"dropping-particle":"","family":"Landthaler","given":"Michael","non-dropping-particle":"","parse-names":false,"suffix":""},{"dropping-particle":"","family":"Babilas","given":"Philipp","non-dropping-particle":"","parse-names":false,"suffix":""}],"container-title":"Journal of American Dermatology","id":"ITEM-1","issued":{"date-parts":[["2010"]]},"note":"THis one is a bit dense","page":"866-881","title":"Wound healing in the 21st century","type":"article-journal","volume":"63"}}],"schema":"https://github.com/citation-style-language/schema/raw/master/csl-citation.json"} </w:instrText>
      </w:r>
      <w:r w:rsidRPr="000D12C7">
        <w:fldChar w:fldCharType="separate"/>
      </w:r>
      <w:r w:rsidR="00DA7707" w:rsidRPr="00DA7707">
        <w:rPr>
          <w:vertAlign w:val="superscript"/>
        </w:rPr>
        <w:t>80</w:t>
      </w:r>
      <w:r w:rsidRPr="000D12C7">
        <w:fldChar w:fldCharType="end"/>
      </w:r>
      <w:r w:rsidRPr="000D12C7">
        <w:t xml:space="preserve"> When wound closure commences, cells and capillaries from the granulation tissue that are no longer needed begin to thin out. </w:t>
      </w:r>
      <w:r>
        <w:t xml:space="preserve">Starting </w:t>
      </w:r>
      <w:r w:rsidRPr="000D12C7">
        <w:t>at about 3</w:t>
      </w:r>
      <w:r w:rsidR="00645D32">
        <w:t>-</w:t>
      </w:r>
      <w:r w:rsidRPr="000D12C7">
        <w:t xml:space="preserve">weeks after injury, collagen type III undergoes degradation while the synthesis of the stronger collagen type I surges. The degradation and turnover of collagen </w:t>
      </w:r>
      <w:r>
        <w:t>are</w:t>
      </w:r>
      <w:r w:rsidRPr="000D12C7">
        <w:t xml:space="preserve"> controlled by matrix metalloproteinases (MMP)</w:t>
      </w:r>
      <w:r w:rsidR="00CA0752">
        <w:t>s</w:t>
      </w:r>
      <w:r w:rsidRPr="000D12C7">
        <w:t xml:space="preserve"> secreted by fibroblasts, epidermal cells, endothelial cells, and macrophages.</w:t>
      </w:r>
      <w:r w:rsidRPr="000D12C7">
        <w:fldChar w:fldCharType="begin" w:fldLock="1"/>
      </w:r>
      <w:r w:rsidR="00DA7707">
        <w:instrText xml:space="preserve"> ADDIN ZOTERO_ITEM CSL_CITATION {"citationID":"G1QSPQJE","properties":{"formattedCitation":"\\super 83\\nosupersub{}","plainCitation":"83","noteIndex":0},"citationItems":[{"id":"cN3eXgV6/lnJb9Lu4","uris":["http://www.mendeley.com/documents/?uuid=4cd71e25-c80d-423c-b6dc-2c998bfb712d"],"uri":["http://www.mendeley.com/documents/?uuid=4cd71e25-c80d-423c-b6dc-2c998bfb712d"],"itemData":{"DOI":"10.1089/wound.2014.0581","ISSN":"2162-1918","abstract":"Significance: Matrix metalloproteinases (MMPs) are present in both acute and chronic wounds. They play a pivotal role, with their inhibitors, in regulating extracellular matrix degradation and deposition that is essential for wound reepithelialization. The excess protease activity can lead to a chronic nonhealing wound. The timed expression and activation of MMPs in response to wounding are vital for successful wound healing. MMPs are grouped into eight families and display extensive homology within these families. This homology leads in part to the initial failure of MMP inhibitors in clinical trials and the development of alternative methods for modulating the MMP activity. MMP-knockout mouse models display altered wound healing responses, but these are often subtle phenotypic changes indicating the overlapping MMP substrate specificity and inter-MMP compensation. Recent Advances: Recent research has identified several new MMP modulators, including photodynamic therapy, protease-absorbing dressing, microRNA regulation, signaling molecules, and peptides. Critical Issues: Wound healing requires the controlled activity of MMPs at all stages of the wound healing process. The loss of MMP regulation is a characteristic of chronic wounds and contributes to the failure to heal. Future Directions: Further research into how MMPs are regulated should allow the development of novel treatments for wound healing.","author":[{"dropping-particle":"","family":"Caley","given":"Matthew P.","non-dropping-particle":"","parse-names":false,"suffix":""},{"dropping-particle":"","family":"Martins","given":"Vera L.C.","non-dropping-particle":"","parse-names":false,"suffix":""},{"dropping-particle":"","family":"O'Toole","given":"Edel A.","non-dropping-particle":"","parse-names":false,"suffix":""}],"container-title":"Advances in Wound Care","id":"ITEM-1","issued":{"date-parts":[["2015"]]},"title":"Metalloproteinases and Wound Healing","type":"article-journal"}}],"schema":"https://github.com/citation-style-language/schema/raw/master/csl-citation.json"} </w:instrText>
      </w:r>
      <w:r w:rsidRPr="000D12C7">
        <w:fldChar w:fldCharType="separate"/>
      </w:r>
      <w:r w:rsidR="00DA7707" w:rsidRPr="00DA7707">
        <w:rPr>
          <w:vertAlign w:val="superscript"/>
        </w:rPr>
        <w:t>83</w:t>
      </w:r>
      <w:r w:rsidRPr="000D12C7">
        <w:fldChar w:fldCharType="end"/>
      </w:r>
      <w:r w:rsidRPr="000D12C7">
        <w:t xml:space="preserve"> </w:t>
      </w:r>
      <w:r>
        <w:t>C</w:t>
      </w:r>
      <w:r w:rsidRPr="000D12C7">
        <w:t>ollagen type I begins to arrange in a more favorable pattern</w:t>
      </w:r>
      <w:r>
        <w:t xml:space="preserve">, and the wound continues to </w:t>
      </w:r>
      <w:r w:rsidRPr="00214D70">
        <w:t>contract.</w:t>
      </w:r>
      <w:r w:rsidRPr="00214D70">
        <w:fldChar w:fldCharType="begin" w:fldLock="1"/>
      </w:r>
      <w:r w:rsidR="00DA7707">
        <w:instrText xml:space="preserve"> ADDIN ZOTERO_ITEM CSL_CITATION {"citationID":"T9e5WVRs","properties":{"formattedCitation":"\\super 84,85\\nosupersub{}","plainCitation":"84,85","noteIndex":0},"citationItems":[{"id":"cN3eXgV6/RrAAMAjG","uris":["http://www.mendeley.com/documents/?uuid=d33f9028-7f79-4784-9375-ccd811408fba"],"uri":["http://www.mendeley.com/documents/?uuid=d33f9028-7f79-4784-9375-ccd811408fba"],"itemData":{"DOI":"10.1006/cbir.1996.0004","ISSN":"10656995","abstract":"The different types of fibres of the collagenous and elastic systems can be demonstrated specifically in tissue sections by comparing the typical ultrastructural picture of each of the fibre types with studies using selective staining techniques for light microscopy. A practical modus operandi, which includes the recommended staining procedures and interpretation of the results, is presented. Micrographs and tables are provided to summarize the differential procedures. Reticulin fibres display a distinct argyrophilia when studied by means of silver impregnation techniques, and show up as a thin meshwork of weakly birefringent, greenish fibres when examined with the aid of the Picrosirius-polarization method. In addition, electron-microscopic studies showed that reticulin fibres are composed of a small number of thin collagen fibrils, contrasting with the very many thicker fibrils that could be localized ultrastructurally to the sites where non-argyrophilic, coarse collagen fibres had been characterized by the histochemical methods used. The three different fibre types of the elastic system belong to a continuous series: oxytalan-elaunin-elastic (all of the fibre types comprising collections of microfibrils with, in the given sequence, increasing amounts of elastin). The three distinct types of elastic system fibres have different staining characteristics and ultrastructural patterns. Ultrastructurally, a characteristic elastic fibre consists of two morphologically different components: a centrally located solid cylinder of amorphous and homogeneous elastin surrounded by tubular microfibrils. An oxytalan fibre is composed of a bundle of microfibrils, identical to the elastic fibre microfibrils, without amorphous material. In elaunin fibres, dispersed amorphous material (elastin) is intermingled among the microfibrils.","author":[{"dropping-particle":"","family":"Montes","given":"Gregorio S.","non-dropping-particle":"","parse-names":false,"suffix":""}],"container-title":"Cell Biology International","id":"ITEM-1","issued":{"date-parts":[["1996"]]},"title":"Structural biology of the fibres of the collagenous and elastic systems","type":"article-journal"}},{"id":"cN3eXgV6/TGzZ9iPi","uris":["http://www.mendeley.com/documents/?uuid=f4e63afb-a202-4c97-a432-f2f6aef92931"],"uri":["http://www.mendeley.com/documents/?uuid=f4e63afb-a202-4c97-a432-f2f6aef92931"],"itemData":{"DOI":"10.3109/03008207709152608","ISSN":"03008207","PMID":"141359","abstract":"Type I and type III collagen extracted from skin was purified by differential salt precipitation and chromatography. By heating to 37° type I formed after a lag phase a floppy and opalescent gel of high optical density and type III formed more rapidly a translucent and rigid gel of low optical density. Addition of typs III to type I resulted in formation of gels of reduced optical density and lag phase related to the proportion of typs III added. Phase contrast and scanning electronmicroscopy demonstrated the formation of thick bundles of type I, thin fibers of type III and bundles of intermediate size related to the proportion of type III. The relationship between collagen type and bundle architecture might prove most significant in conditioning the mechanical properties of the connective tissues in normal and pathological conditions. © 1977 Informa UK Ltd All rights reserved: reproduction in whole or part not permitted.","author":[{"dropping-particle":"","family":"Lapiere","given":"Ch M.","non-dropping-particle":"","parse-names":false,"suffix":""},{"dropping-particle":"","family":"Nusgens","given":"B.","non-dropping-particle":"","parse-names":false,"suffix":""},{"dropping-particle":"","family":"Pierard","given":"G. E.","non-dropping-particle":"","parse-names":false,"suffix":""}],"container-title":"Connective Tissue Research","id":"ITEM-2","issued":{"date-parts":[["1977"]]},"title":"Interaction between collagen type I and type III in conditioning bundles organization","type":"article-journal"}}],"schema":"https://github.com/citation-style-language/schema/raw/master/csl-citation.json"} </w:instrText>
      </w:r>
      <w:r w:rsidRPr="00214D70">
        <w:fldChar w:fldCharType="separate"/>
      </w:r>
      <w:r w:rsidR="00DA7707" w:rsidRPr="00DA7707">
        <w:rPr>
          <w:vertAlign w:val="superscript"/>
        </w:rPr>
        <w:t>84,85</w:t>
      </w:r>
      <w:r w:rsidRPr="00214D70">
        <w:fldChar w:fldCharType="end"/>
      </w:r>
      <w:r>
        <w:t xml:space="preserve"> At the end of this phase, the wound is sealed with collagen-rich scar tissue that has only about 70% of the original strength as normal, non-damaged skin.</w:t>
      </w:r>
      <w:r>
        <w:fldChar w:fldCharType="begin" w:fldLock="1"/>
      </w:r>
      <w:r w:rsidR="00137460">
        <w:instrText xml:space="preserve"> ADDIN ZOTERO_ITEM CSL_CITATION {"citationID":"9WYLtRnn","properties":{"formattedCitation":"\\super 69\\nosupersub{}","plainCitation":"69","noteIndex":0},"citationItems":[{"id":67,"uris":["http://zotero.org/users/6281125/items/PFFZXVJM"],"uri":["http://zotero.org/users/6281125/items/PFFZXVJM"],"itemData":{"id":67,"type":"article-journal","abstract":"THE primary function of the skin is to serve as a protective barrier against the environ- ment. Loss of the integrity of large portions of the skin as a result of injury or illness may lead to major disability or even death. Every year in the Unit- ed States more than 1.25 million people have burns 1 and 6.5 million have chronic skin ulcers caused by pressure, venous stasis, or diabetes mellitus. 2 The primary goals of the treatment of wounds are rapid wound closure and a functional and aestheti- cally satisfactory scar. Recent advances in cellular and molecular biology have greatly expanded our under- standing of the biologic processes involved in wound repair and tissue regeneration 3 and have led to im- provements in wound care. We review here the biol- ogy of the healing of traumatic and nontraumatic wounds and discuss the use of skin substitutes and growth factors to promote wound healing.","container-title":"The New England Journal of Medicine","issue":"1","page":"738-746","title":"Mechanisms of disease: cutaneous wound healing","volume":"341","author":[{"family":"Singer","given":"Adam J."},{"family":"Clark","given":"Richard"}],"issued":{"date-parts":[["1999"]]}}}],"schema":"https://github.com/citation-style-language/schema/raw/master/csl-citation.json"} </w:instrText>
      </w:r>
      <w:r>
        <w:fldChar w:fldCharType="separate"/>
      </w:r>
      <w:r w:rsidR="00137460" w:rsidRPr="00137460">
        <w:rPr>
          <w:vertAlign w:val="superscript"/>
        </w:rPr>
        <w:t>69</w:t>
      </w:r>
      <w:r>
        <w:fldChar w:fldCharType="end"/>
      </w:r>
    </w:p>
    <w:p w14:paraId="0F29EBD4" w14:textId="77777777" w:rsidR="00DD76EF" w:rsidRDefault="00DD76EF" w:rsidP="00DD76EF">
      <w:pPr>
        <w:pStyle w:val="NormalWeb"/>
        <w:keepNext/>
        <w:ind w:right="-14" w:firstLine="0"/>
      </w:pPr>
      <w:r>
        <w:rPr>
          <w:noProof/>
        </w:rPr>
        <w:drawing>
          <wp:inline distT="0" distB="0" distL="0" distR="0" wp14:anchorId="1FEDC332" wp14:editId="01163A72">
            <wp:extent cx="5937728" cy="3673276"/>
            <wp:effectExtent l="0" t="0" r="635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73831" cy="3695611"/>
                    </a:xfrm>
                    <a:prstGeom prst="rect">
                      <a:avLst/>
                    </a:prstGeom>
                    <a:noFill/>
                    <a:ln>
                      <a:noFill/>
                    </a:ln>
                  </pic:spPr>
                </pic:pic>
              </a:graphicData>
            </a:graphic>
          </wp:inline>
        </w:drawing>
      </w:r>
    </w:p>
    <w:p w14:paraId="5E2E43AD" w14:textId="4DA40EFE" w:rsidR="001D404B" w:rsidRPr="001D404B" w:rsidRDefault="00DD76EF" w:rsidP="00DD76EF">
      <w:pPr>
        <w:pStyle w:val="Caption"/>
      </w:pPr>
      <w:bookmarkStart w:id="30" w:name="_Toc88218599"/>
      <w:r>
        <w:t xml:space="preserve">Figure </w:t>
      </w:r>
      <w:r>
        <w:fldChar w:fldCharType="begin"/>
      </w:r>
      <w:r>
        <w:instrText xml:space="preserve"> SEQ Figure \* ARABIC </w:instrText>
      </w:r>
      <w:r>
        <w:fldChar w:fldCharType="separate"/>
      </w:r>
      <w:r w:rsidR="00CD04FC">
        <w:t>6</w:t>
      </w:r>
      <w:r>
        <w:fldChar w:fldCharType="end"/>
      </w:r>
      <w:r>
        <w:t>. Remodeling phase of wound healing</w:t>
      </w:r>
      <w:bookmarkEnd w:id="30"/>
    </w:p>
    <w:p w14:paraId="256E7D4E" w14:textId="05AF2976" w:rsidR="00B76A8F" w:rsidRDefault="00B76A8F" w:rsidP="001468E1">
      <w:pPr>
        <w:pStyle w:val="Heading3"/>
      </w:pPr>
      <w:bookmarkStart w:id="31" w:name="_Toc88218515"/>
      <w:r>
        <w:t>Vocal Fold Wound Healing</w:t>
      </w:r>
      <w:bookmarkEnd w:id="31"/>
    </w:p>
    <w:p w14:paraId="7E570A39" w14:textId="157AA268" w:rsidR="0035281C" w:rsidRDefault="0035281C" w:rsidP="0035281C">
      <w:pPr>
        <w:pBdr>
          <w:top w:val="nil"/>
          <w:left w:val="nil"/>
          <w:bottom w:val="nil"/>
          <w:right w:val="nil"/>
          <w:between w:val="nil"/>
        </w:pBdr>
        <w:ind w:right="-15"/>
        <w:rPr>
          <w:color w:val="000000"/>
        </w:rPr>
      </w:pPr>
      <w:r>
        <w:rPr>
          <w:color w:val="000000"/>
        </w:rPr>
        <w:t xml:space="preserve">The VFs differ from other tissue types in the human body due to their ability to withstand continuous sheering forces and stress during phonation without being compromised. There is a growing body of literature characterizing the wound healing cascade in </w:t>
      </w:r>
      <w:r w:rsidR="00CA0752">
        <w:rPr>
          <w:color w:val="000000"/>
        </w:rPr>
        <w:t>VFs</w:t>
      </w:r>
      <w:r>
        <w:rPr>
          <w:color w:val="000000"/>
        </w:rPr>
        <w:t xml:space="preserve"> using a variety of experimental models to more precisely investigate the wound healing progression in this specialized tissue. </w:t>
      </w:r>
      <w:r w:rsidRPr="000D12C7">
        <w:rPr>
          <w:color w:val="000000"/>
        </w:rPr>
        <w:t>Although limited studies have been conducted in human subjects, laryngeal secretions taken from a single subject after a 1</w:t>
      </w:r>
      <w:r>
        <w:rPr>
          <w:color w:val="000000"/>
        </w:rPr>
        <w:t>-</w:t>
      </w:r>
      <w:r w:rsidRPr="000D12C7">
        <w:rPr>
          <w:color w:val="000000"/>
        </w:rPr>
        <w:t>hour vocal loading task revealed increases</w:t>
      </w:r>
      <w:r>
        <w:rPr>
          <w:color w:val="000000"/>
        </w:rPr>
        <w:t xml:space="preserve"> in</w:t>
      </w:r>
      <w:r w:rsidRPr="000D12C7">
        <w:rPr>
          <w:color w:val="000000"/>
        </w:rPr>
        <w:t xml:space="preserve"> inflammatory</w:t>
      </w:r>
      <w:r>
        <w:rPr>
          <w:color w:val="000000"/>
        </w:rPr>
        <w:t xml:space="preserve"> and profibrotic</w:t>
      </w:r>
      <w:r w:rsidRPr="000D12C7">
        <w:rPr>
          <w:color w:val="000000"/>
        </w:rPr>
        <w:t xml:space="preserve"> mediators including IL-1β, T</w:t>
      </w:r>
      <w:r>
        <w:rPr>
          <w:color w:val="000000"/>
        </w:rPr>
        <w:t>N</w:t>
      </w:r>
      <w:r w:rsidRPr="000D12C7">
        <w:rPr>
          <w:color w:val="000000"/>
        </w:rPr>
        <w:t>F-α, and MMP-8.</w:t>
      </w:r>
      <w:r w:rsidRPr="000D12C7">
        <w:rPr>
          <w:color w:val="000000"/>
        </w:rPr>
        <w:fldChar w:fldCharType="begin" w:fldLock="1"/>
      </w:r>
      <w:r w:rsidR="00DA7707">
        <w:rPr>
          <w:color w:val="000000"/>
        </w:rPr>
        <w:instrText xml:space="preserve"> ADDIN ZOTERO_ITEM CSL_CITATION {"citationID":"gDB0zAec","properties":{"formattedCitation":"\\super 86\\nosupersub{}","plainCitation":"86","noteIndex":0},"citationItems":[{"id":"cN3eXgV6/Ak8LqI9U","uris":["http://www.mendeley.com/documents/?uuid=f11bbb52-7719-4fb8-bf75-d974a612c4b4"],"uri":["http://www.mendeley.com/documents/?uuid=f11bbb52-7719-4fb8-bf75-d974a612c4b4"],"itemData":{"DOI":"10.1177/000348940311201205","ISSN":"00034894","abstract":"The current study sought to determine whether shifts in key components of the inflammatory process could be detected from laryngeal secretions sampled before and after vocal loading. A healthy 44-year-old woman served as the subject. The vocal folds were swabbed to collect baseline secretions. Ten and 20 minutes after nearly constant loud phonation for 1 hour, the vocal folds were swabbed again. The findings indicated strong shifts in several key inflammatory mediators: interleukin-1β, tumor necrosis factor α, and matrix metalloproteinase 8. The concentrations of those mediators continued to increase from the 10- to 20-minute postloading time-points. Transforming growth factor β and prostaglandin E2 did not demonstrate clear shifts. In summary, mediators reflecting the acute inflammatory process could be detected from laryngeal secretions in an awake human. The upward slope of the curves at the 20-minute time interval indicates the need for longer follow-up sampling to determine the full biological response of the vocal folds to acute phonotrauma.","author":[{"dropping-particle":"","family":"Verdolini","given":"Katherine","non-dropping-particle":"","parse-names":false,"suffix":""},{"dropping-particle":"","family":"Rosen","given":"Clark A.","non-dropping-particle":"","parse-names":false,"suffix":""},{"dropping-particle":"","family":"Branski","given":"Ryan C.","non-dropping-particle":"","parse-names":false,"suffix":""},{"dropping-particle":"","family":"Hebda","given":"Patricia A.","non-dropping-particle":"","parse-names":false,"suffix":""}],"container-title":"Annals of Otology, Rhinology and Laryngology","id":"ITEM-1","issued":{"date-parts":[["2003"]]},"title":"Shifts in biochemical markers associated with wound healing in laryngeal secretions following phonotrauma: A preliminary study","type":"article-journal"}}],"schema":"https://github.com/citation-style-language/schema/raw/master/csl-citation.json"} </w:instrText>
      </w:r>
      <w:r w:rsidRPr="000D12C7">
        <w:rPr>
          <w:color w:val="000000"/>
        </w:rPr>
        <w:fldChar w:fldCharType="separate"/>
      </w:r>
      <w:r w:rsidR="00DA7707" w:rsidRPr="00DA7707">
        <w:rPr>
          <w:vertAlign w:val="superscript"/>
        </w:rPr>
        <w:t>86</w:t>
      </w:r>
      <w:r w:rsidRPr="000D12C7">
        <w:rPr>
          <w:color w:val="000000"/>
        </w:rPr>
        <w:fldChar w:fldCharType="end"/>
      </w:r>
      <w:r>
        <w:rPr>
          <w:color w:val="000000"/>
        </w:rPr>
        <w:t xml:space="preserve"> </w:t>
      </w:r>
      <w:r w:rsidRPr="000D12C7">
        <w:rPr>
          <w:color w:val="000000"/>
        </w:rPr>
        <w:t>Other studies</w:t>
      </w:r>
      <w:r>
        <w:rPr>
          <w:color w:val="000000"/>
        </w:rPr>
        <w:t xml:space="preserve"> inducing VF injuries in animal models </w:t>
      </w:r>
      <w:r w:rsidRPr="000D12C7">
        <w:rPr>
          <w:color w:val="000000"/>
        </w:rPr>
        <w:t>revealed similar findings regarding IL-1β, TGF-β1, COX-2,</w:t>
      </w:r>
      <w:r>
        <w:rPr>
          <w:color w:val="000000"/>
        </w:rPr>
        <w:fldChar w:fldCharType="begin"/>
      </w:r>
      <w:r w:rsidR="00DA7707">
        <w:rPr>
          <w:color w:val="000000"/>
        </w:rPr>
        <w:instrText xml:space="preserve"> ADDIN ZOTERO_ITEM CSL_CITATION {"citationID":"u4FhhUBL","properties":{"formattedCitation":"\\super 87,88\\nosupersub{}","plainCitation":"87,88","noteIndex":0},"citationItems":[{"id":"cN3eXgV6/R4hz0bJZ","uris":["http://www.mendeley.com/documents/?uuid=2a574919-96b5-4675-a56e-77150e7733d7"],"uri":["http://www.mendeley.com/documents/?uuid=2a574919-96b5-4675-a56e-77150e7733d7"],"itemData":{"DOI":"10.1177/000348940611501212","ISSN":"00034894","abstract":"Objectives: Vocal fold scarring is the major cause of voice disorders after voice surgery or laryngeal trauma. The role of inflammatory factors in vocal fold wound healing and fibrosis has not been adequately investigated. Scarless wound healing has been associated with decreased inflammatory responses. To understand scar formation and develop reliable treatments, it is necessary to control extracellular matrix production and inflammation. Thus, we examined the inflammation profile and extracellular matrix production in wounded vocal folds in the acute phase of wound healing. Methods: Vocal fold stripping was performed on 30 Sprague-Dawley rats. Vocal fold tissue was collected at 5 time points (4, 8, 16, 24, and 72 hours). We examined the in vivo messenger RNA expression profile of inflammatory factors interleukin 1β, interferon γ, tumor necrosis factor a, nuclear factor κβ, transforming growth factor β, and cyclooxygenase 2, as well as hyaluronic acid synthases 1 and 2, procollagen subtypes I and III, and elastin synthase in scarred vocal folds after injury, compared to normal vocal folds, using real-time reverse transcription-polymerase chain reaction. Results: The inflammatory factors showed a time-dependent sequence of expression peaks, starting with interleukin 1β, nuclear factor κβ, tumor necrosis factor α (4 and 8 hours), and transforming growth factor β (72 hours). Interferon γ decreased at 24 hours. Correspondingly, hyaluronic acid synthase 1 expression peaked first (4 and 8 hours), whereas hyaluronic acid synthase 2 expression peaked at 16 hours and again at 72 hours. Procollagen I expression peaked at 72 hours, whereas procollagen III decreased from 8 to 16 hours but peaked at 72 hours. Cyclooxygenase 2 expression was elevated, whereas elastin expression remained constant. Conclusions: The results show a clear profile of vocal fold inflammation with corresponding changes in extracellular matrix production. © 2006 Annals Publishing Company. All rights reserved.","author":[{"dropping-particle":"","family":"Lim","given":"Xinhong","non-dropping-particle":"","parse-names":false,"suffix":""},{"dropping-particle":"","family":"Tateya","given":"Ichiro","non-dropping-particle":"","parse-names":false,"suffix":""},{"dropping-particle":"","family":"Tateya","given":"Tomoko","non-dropping-particle":"","parse-names":false,"suffix":""},{"dropping-particle":"","family":"Muñoz-Del-Río","given":"Alejandro","non-dropping-particle":"","parse-names":false,"suffix":""},{"dropping-particle":"","family":"Bless","given":"Diane M.","non-dropping-particle":"","parse-names":false,"suffix":""}],"container-title":"Annals of Otology, Rhinology and Laryngology","id":"k8TyM9uC/Y9x5K2xM","issued":{"date-parts":[["2006"]]},"title":"Immediate inflammatory response and scar formation in wounded vocal folds","type":"article-journal"}},{"id":55,"uris":["http://zotero.org/users/6281125/items/9GWN7Y43"],"uri":["http://zotero.org/users/6281125/items/9GWN7Y43"],"itemData":{"id":55,"type":"article-journal","abstract":"Objectives: Inflammatory factors are key mediators of wound healing processes following injury, and their modulation may improve healing outcomes. The objective of this study was to characterize in vivo inflammatory factor and extracellular matrix (ECM) messenger RNA (mRNA) expression levels 1 hour after vocal fold injury. Methods: Five Sprague-Dawley rats were subjected to bilateral vocal fold injury, 5 rats were reserved as uninjured controls, and 1 rat was subjected to unilateral vocal fold injury and reserved for histology. Tissue was harvested 1 hour after injury. Real-time reverse transcription-polymerase chain reaction was performed to examine the mRNA expression profiles of inflammatory factors nuclear factor kappa beta (NF-κβ), interferon gamma (IFN-γ), cyclooxygenase 2 (COX-2), transforming growth factor beta isoform 1 (TGF-β1), tumor necrosis factor alpha (TNF-α), and interleukin 1 beta (IL-1β), as well as ECM genes hyaluronic acid synthase (HAS) 1, HAS-2, procollagen 1, procollagen 3, and elastin, in the injured samples compared with the uninjured controls. Results: Injury resulted in subepithelial bleeding throughout the vocal fold. The COX-2, TNF-α, IL-1β, and HAS-1 mRNA expression levels were significantly up-regulated 1 hour after injury compared with the uninjured controls. Conclusions: Inflammatory factor and ECM gene expression changes occur in vocal fold wound sites as early as 1 hour after injury. These results should inform future efforts to attenuate vocal fold scarring via the modulation of inflammatory factors. © 2008 Annals Publishing Company. All rights reserved.","container-title":"Annals of Otology, Rhinology and Laryngology","DOI":"10.1177/000348940811700213","ISSN":"00034894","issue":"2","page":"145-152","title":"Inflammatory factor profiles one hour following vocal fold injury","volume":"117","author":[{"family":"Welham","given":"Nathan V."},{"family":"Lim","given":"Xinhong"},{"family":"Tateya","given":"Ichiro"},{"family":"Bless","given":"Diane M."}],"issued":{"date-parts":[["2008"]]}}}],"schema":"https://github.com/citation-style-language/schema/raw/master/csl-citation.json"} </w:instrText>
      </w:r>
      <w:r>
        <w:rPr>
          <w:color w:val="000000"/>
        </w:rPr>
        <w:fldChar w:fldCharType="separate"/>
      </w:r>
      <w:r w:rsidR="00DA7707" w:rsidRPr="00DA7707">
        <w:rPr>
          <w:vertAlign w:val="superscript"/>
        </w:rPr>
        <w:t>87,88</w:t>
      </w:r>
      <w:r>
        <w:rPr>
          <w:color w:val="000000"/>
        </w:rPr>
        <w:fldChar w:fldCharType="end"/>
      </w:r>
      <w:r w:rsidRPr="000D12C7">
        <w:rPr>
          <w:color w:val="000000"/>
        </w:rPr>
        <w:t xml:space="preserve"> TNF-α,</w:t>
      </w:r>
      <w:r w:rsidRPr="000D12C7">
        <w:rPr>
          <w:color w:val="000000"/>
        </w:rPr>
        <w:fldChar w:fldCharType="begin" w:fldLock="1"/>
      </w:r>
      <w:r w:rsidR="00DA7707">
        <w:rPr>
          <w:color w:val="000000"/>
        </w:rPr>
        <w:instrText xml:space="preserve"> ADDIN ZOTERO_ITEM CSL_CITATION {"citationID":"xMX59l3C","properties":{"formattedCitation":"\\super 87\\nosupersub{}","plainCitation":"87","noteIndex":0},"citationItems":[{"id":"cN3eXgV6/R4hz0bJZ","uris":["http://www.mendeley.com/documents/?uuid=2a574919-96b5-4675-a56e-77150e7733d7"],"uri":["http://www.mendeley.com/documents/?uuid=2a574919-96b5-4675-a56e-77150e7733d7"],"itemData":{"DOI":"10.1177/000348940611501212","ISSN":"00034894","abstract":"Objectives: Vocal fold scarring is the major cause of voice disorders after voice surgery or laryngeal trauma. The role of inflammatory factors in vocal fold wound healing and fibrosis has not been adequately investigated. Scarless wound healing has been associated with decreased inflammatory responses. To understand scar formation and develop reliable treatments, it is necessary to control extracellular matrix production and inflammation. Thus, we examined the inflammation profile and extracellular matrix production in wounded vocal folds in the acute phase of wound healing. Methods: Vocal fold stripping was performed on 30 Sprague-Dawley rats. Vocal fold tissue was collected at 5 time points (4, 8, 16, 24, and 72 hours). We examined the in vivo messenger RNA expression profile of inflammatory factors interleukin 1β, interferon γ, tumor necrosis factor a, nuclear factor κβ, transforming growth factor β, and cyclooxygenase 2, as well as hyaluronic acid synthases 1 and 2, procollagen subtypes I and III, and elastin synthase in scarred vocal folds after injury, compared to normal vocal folds, using real-time reverse transcription-polymerase chain reaction. Results: The inflammatory factors showed a time-dependent sequence of expression peaks, starting with interleukin 1β, nuclear factor κβ, tumor necrosis factor α (4 and 8 hours), and transforming growth factor β (72 hours). Interferon γ decreased at 24 hours. Correspondingly, hyaluronic acid synthase 1 expression peaked first (4 and 8 hours), whereas hyaluronic acid synthase 2 expression peaked at 16 hours and again at 72 hours. Procollagen I expression peaked at 72 hours, whereas procollagen III decreased from 8 to 16 hours but peaked at 72 hours. Cyclooxygenase 2 expression was elevated, whereas elastin expression remained constant. Conclusions: The results show a clear profile of vocal fold inflammation with corresponding changes in extracellular matrix production. © 2006 Annals Publishing Company. All rights reserved.","author":[{"dropping-particle":"","family":"Lim","given":"Xinhong","non-dropping-particle":"","parse-names":false,"suffix":""},{"dropping-particle":"","family":"Tateya","given":"Ichiro","non-dropping-particle":"","parse-names":false,"suffix":""},{"dropping-particle":"","family":"Tateya","given":"Tomoko","non-dropping-particle":"","parse-names":false,"suffix":""},{"dropping-particle":"","family":"Muñoz-Del-Río","given":"Alejandro","non-dropping-particle":"","parse-names":false,"suffix":""},{"dropping-particle":"","family":"Bless","given":"Diane M.","non-dropping-particle":"","parse-names":false,"suffix":""}],"container-title":"Annals of Otology, Rhinology and Laryngology","id":"ITEM-1","issued":{"date-parts":[["2006"]]},"title":"Immediate inflammatory response and scar formation in wounded vocal folds","type":"article-journal"}}],"schema":"https://github.com/citation-style-language/schema/raw/master/csl-citation.json"} </w:instrText>
      </w:r>
      <w:r w:rsidRPr="000D12C7">
        <w:rPr>
          <w:color w:val="000000"/>
        </w:rPr>
        <w:fldChar w:fldCharType="separate"/>
      </w:r>
      <w:r w:rsidR="00DA7707" w:rsidRPr="00DA7707">
        <w:rPr>
          <w:vertAlign w:val="superscript"/>
        </w:rPr>
        <w:t>87</w:t>
      </w:r>
      <w:r w:rsidRPr="000D12C7">
        <w:rPr>
          <w:color w:val="000000"/>
        </w:rPr>
        <w:fldChar w:fldCharType="end"/>
      </w:r>
      <w:r w:rsidRPr="000D12C7">
        <w:rPr>
          <w:color w:val="000000"/>
        </w:rPr>
        <w:t xml:space="preserve"> </w:t>
      </w:r>
      <w:r>
        <w:rPr>
          <w:color w:val="000000"/>
        </w:rPr>
        <w:t>HA,</w:t>
      </w:r>
      <w:r>
        <w:rPr>
          <w:color w:val="000000"/>
        </w:rPr>
        <w:fldChar w:fldCharType="begin"/>
      </w:r>
      <w:r w:rsidR="00DA7707">
        <w:rPr>
          <w:color w:val="000000"/>
        </w:rPr>
        <w:instrText xml:space="preserve"> ADDIN ZOTERO_ITEM CSL_CITATION {"citationID":"DUYOzQJN","properties":{"formattedCitation":"\\super 87\\uc0\\u8211{}89\\nosupersub{}","plainCitation":"87–89","noteIndex":0},"citationItems":[{"id":"cN3eXgV6/R4hz0bJZ","uris":["http://www.mendeley.com/documents/?uuid=2a574919-96b5-4675-a56e-77150e7733d7"],"uri":["http://www.mendeley.com/documents/?uuid=2a574919-96b5-4675-a56e-77150e7733d7"],"itemData":{"DOI":"10.1177/000348940611501212","ISSN":"00034894","abstract":"Objectives: Vocal fold scarring is the major cause of voice disorders after voice surgery or laryngeal trauma. The role of inflammatory factors in vocal fold wound healing and fibrosis has not been adequately investigated. Scarless wound healing has been associated with decreased inflammatory responses. To understand scar formation and develop reliable treatments, it is necessary to control extracellular matrix production and inflammation. Thus, we examined the inflammation profile and extracellular matrix production in wounded vocal folds in the acute phase of wound healing. Methods: Vocal fold stripping was performed on 30 Sprague-Dawley rats. Vocal fold tissue was collected at 5 time points (4, 8, 16, 24, and 72 hours). We examined the in vivo messenger RNA expression profile of inflammatory factors interleukin 1β, interferon γ, tumor necrosis factor a, nuclear factor κβ, transforming growth factor β, and cyclooxygenase 2, as well as hyaluronic acid synthases 1 and 2, procollagen subtypes I and III, and elastin synthase in scarred vocal folds after injury, compared to normal vocal folds, using real-time reverse transcription-polymerase chain reaction. Results: The inflammatory factors showed a time-dependent sequence of expression peaks, starting with interleukin 1β, nuclear factor κβ, tumor necrosis factor α (4 and 8 hours), and transforming growth factor β (72 hours). Interferon γ decreased at 24 hours. Correspondingly, hyaluronic acid synthase 1 expression peaked first (4 and 8 hours), whereas hyaluronic acid synthase 2 expression peaked at 16 hours and again at 72 hours. Procollagen I expression peaked at 72 hours, whereas procollagen III decreased from 8 to 16 hours but peaked at 72 hours. Cyclooxygenase 2 expression was elevated, whereas elastin expression remained constant. Conclusions: The results show a clear profile of vocal fold inflammation with corresponding changes in extracellular matrix production. © 2006 Annals Publishing Company. All rights reserved.","author":[{"dropping-particle":"","family":"Lim","given":"Xinhong","non-dropping-particle":"","parse-names":false,"suffix":""},{"dropping-particle":"","family":"Tateya","given":"Ichiro","non-dropping-particle":"","parse-names":false,"suffix":""},{"dropping-particle":"","family":"Tateya","given":"Tomoko","non-dropping-particle":"","parse-names":false,"suffix":""},{"dropping-particle":"","family":"Muñoz-Del-Río","given":"Alejandro","non-dropping-particle":"","parse-names":false,"suffix":""},{"dropping-particle":"","family":"Bless","given":"Diane M.","non-dropping-particle":"","parse-names":false,"suffix":""}],"container-title":"Annals of Otology, Rhinology and Laryngology","id":"k8TyM9uC/Y9x5K2xM","issued":{"date-parts":[["2006"]]},"title":"Immediate inflammatory response and scar formation in wounded vocal folds","type":"article-journal"}},{"id":"cN3eXgV6/NMa9syU3","uris":["http://www.mendeley.com/documents/?uuid=7e998bed-51a8-4af5-9bad-84596e806c77"],"uri":["http://www.mendeley.com/documents/?uuid=7e998bed-51a8-4af5-9bad-84596e806c77"],"itemData":{"DOI":"10.1177/000348940611500406","ISSN":"00034894","abstract":"Objectives: We used an acute vocal fold injury in a rat model to characterize vocal fold wound healing by studying the expression pattern of the extracellular matrix components in the vocal fold lamina propria. Methods: Vocal fold stripping was performed unilaterally in 27 Sprague-Dawley rats. The vocal folds were harvested at 5 time points (1, 3, 5, 7, and 14 days) and histologically analyzed by Alcian blue stain, trichrome stain, and immunofluorescence with antibodies to collagen type I, collagen type III, and fibronectin. Results: Re-epithelialization occurred by day 3 and was complete by day 14. Granulation tissue was formed by day 3. Hyaluronic acid and collagen type I appeared in injured vocal folds by day 3, peaked at day 5, and thereafter decreased. Collagen type III and fibronectin appeared by day 1 and continued to be intense at all time points after day 3. Conclusions: These results suggest that the expression of these extracellular matrix components peaks in the period around days 3 to 5, and that the characteristics of wound healing in the vocal fold are similar to those in the skin in the early phases, but differ during the subsequent remodeling phase. © 2006 Annals Publishing Company. All rights reserved.","author":[{"dropping-particle":"","family":"Tateya","given":"Tomoko","non-dropping-particle":"","parse-names":false,"suffix":""},{"dropping-particle":"","family":"Tateya","given":"Ichiro","non-dropping-particle":"","parse-names":false,"suffix":""},{"dropping-particle":"","family":"Sohn","given":"Jin Ho","non-dropping-particle":"","parse-names":false,"suffix":""},{"dropping-particle":"","family":"Bless","given":"Diane M.","non-dropping-particle":"","parse-names":false,"suffix":""}],"container-title":"Annals of Otology, Rhinology and Laryngology","id":"k8TyM9uC/clWgkE5H","issued":{"date-parts":[["2006"]]},"title":"Histological study of acute vocal fold injury in a rat model","type":"article-journal"}},{"id":55,"uris":["http://zotero.org/users/6281125/items/9GWN7Y43"],"uri":["http://zotero.org/users/6281125/items/9GWN7Y43"],"itemData":{"id":55,"type":"article-journal","abstract":"Objectives: Inflammatory factors are key mediators of wound healing processes following injury, and their modulation may improve healing outcomes. The objective of this study was to characterize in vivo inflammatory factor and extracellular matrix (ECM) messenger RNA (mRNA) expression levels 1 hour after vocal fold injury. Methods: Five Sprague-Dawley rats were subjected to bilateral vocal fold injury, 5 rats were reserved as uninjured controls, and 1 rat was subjected to unilateral vocal fold injury and reserved for histology. Tissue was harvested 1 hour after injury. Real-time reverse transcription-polymerase chain reaction was performed to examine the mRNA expression profiles of inflammatory factors nuclear factor kappa beta (NF-κβ), interferon gamma (IFN-γ), cyclooxygenase 2 (COX-2), transforming growth factor beta isoform 1 (TGF-β1), tumor necrosis factor alpha (TNF-α), and interleukin 1 beta (IL-1β), as well as ECM genes hyaluronic acid synthase (HAS) 1, HAS-2, procollagen 1, procollagen 3, and elastin, in the injured samples compared with the uninjured controls. Results: Injury resulted in subepithelial bleeding throughout the vocal fold. The COX-2, TNF-α, IL-1β, and HAS-1 mRNA expression levels were significantly up-regulated 1 hour after injury compared with the uninjured controls. Conclusions: Inflammatory factor and ECM gene expression changes occur in vocal fold wound sites as early as 1 hour after injury. These results should inform future efforts to attenuate vocal fold scarring via the modulation of inflammatory factors. © 2008 Annals Publishing Company. All rights reserved.","container-title":"Annals of Otology, Rhinology and Laryngology","DOI":"10.1177/000348940811700213","ISSN":"00034894","issue":"2","page":"145-152","title":"Inflammatory factor profiles one hour following vocal fold injury","volume":"117","author":[{"family":"Welham","given":"Nathan V."},{"family":"Lim","given":"Xinhong"},{"family":"Tateya","given":"Ichiro"},{"family":"Bless","given":"Diane M."}],"issued":{"date-parts":[["2008"]]}}}],"schema":"https://github.com/citation-style-language/schema/raw/master/csl-citation.json"} </w:instrText>
      </w:r>
      <w:r>
        <w:rPr>
          <w:color w:val="000000"/>
        </w:rPr>
        <w:fldChar w:fldCharType="separate"/>
      </w:r>
      <w:r w:rsidR="00DA7707" w:rsidRPr="00DA7707">
        <w:rPr>
          <w:vertAlign w:val="superscript"/>
        </w:rPr>
        <w:t>87–89</w:t>
      </w:r>
      <w:r>
        <w:rPr>
          <w:color w:val="000000"/>
        </w:rPr>
        <w:fldChar w:fldCharType="end"/>
      </w:r>
      <w:r>
        <w:rPr>
          <w:color w:val="000000"/>
        </w:rPr>
        <w:t xml:space="preserve"> MMP-1,</w:t>
      </w:r>
      <w:r>
        <w:rPr>
          <w:color w:val="000000"/>
        </w:rPr>
        <w:fldChar w:fldCharType="begin"/>
      </w:r>
      <w:r w:rsidR="00DA7707">
        <w:rPr>
          <w:color w:val="000000"/>
        </w:rPr>
        <w:instrText xml:space="preserve"> ADDIN ZOTERO_ITEM CSL_CITATION {"citationID":"JVxa402A","properties":{"formattedCitation":"\\super 90,91\\nosupersub{}","plainCitation":"90,91","noteIndex":0},"citationItems":[{"id":54,"uris":["http://zotero.org/users/6281125/items/T3GCG2PJ"],"uri":["http://zotero.org/users/6281125/items/T3GCG2PJ"],"itemData":{"id":54,"type":"article-journal","abstract":"Objectives: We determined the expression of matrix metalloproteinase (MMP)-1, MMP-9, collagen types I and III, and fibronectin from rabbit vocal folds after injury. Methods: Thirty rabbits were involved in this study. Five animals were assigned to each time period. Noninjured vocal fold specimens were collected as a control. Gene expression was analyzed at 2, 4, 8, 24, 48, and 72 hours after injury by use of real-time polymerase chain reaction. Results: Compared to 2 hours after injury, MMP-1 expression was increased at 4, 8, 24, 48, and 72 hours. Compared to 4 hours, MMP-1 expression was increased at 8, 24, 48, and 72 hours. Compared to the control specimens, MMP-9 expression was increased at 4, 8, 24, 48, and 72 hours. Compared to 2 hours, MMP-9 expression was increased at 4, 8, 24, 48, and 72 hours. Compared to 2 and 4 hours, collagen type I expression was increased at 72 hours. Collagen type III expression was increased at 72 hours compared to 2, 4, and 8 hours. Compared to 2 hours, fibronectin expression was increased at 24, 48, and 72 hours. Conclusions: Results revealed time-dependent changes in expression of MMP-1, MMP-9, collagen types I and III, and fibronectin from rabbit vocal folds after injury. Future experiments are planned to investigate the effects of phonation on expression of these genes after injury. © 2008 Annals Publishing Company. All rights reserved.","container-title":"Annals of Otology, Rhinology and Laryngology","DOI":"10.1177/000348940811700809","ISSN":"00034894","issue":"8","note":"PMID: 18771077","page":"598-603","title":"Extracellular matrix gene expression after vocal fold injury in a rabbit model","volume":"117","author":[{"family":"Rousseau","given":"Bernard"},{"family":"Ge","given":"Ping Jiang"},{"family":"Ohno","given":"Tsunehisa"},{"family":"French","given":"Lesley C."},{"family":"Thibeault","given":"Susan L."}],"issued":{"date-parts":[["2008"]]}}},{"id":639,"uris":["http://zotero.org/users/6281125/items/EC7VZDWP"],"uri":["http://zotero.org/users/6281125/items/EC7VZDWP"],"itemData":{"id":639,"type":"article-journal","abstract":"OBJECTIVES: An in vivo rabbit model was used to study the effect of 3 hours of experimentally induced phonation on messenger RNA expression of the normal vocal fold. STUDY DESIGN: Prospective; animal model. SUBJECTS AND METHODS: Ten rabbits received experimental phonation for 3 hours, followed by 1 hour of recovery. A separate group of 5 rabbits served as no-phonation controls. We measured messenger RNA expression of matrix metalloprotein-ase-1, MMP-9, and interleukin-1 using real-time reverse-transcribed polymerase chain reaction. Gene expression ratios from phonation and control animals were assessed with the Mann-Whitney U test. RESULTS: Phonation (77 3 dB; 429 141 Hz) resulted in increased matrix metalloproteinase-1 gene expression from rabbits receiving experimental phonation compared with controls, and a nonsignificant increase in matrix metalloproteinase-9 and interleu-kin-1 gene expression. CONCLUSION: Matrix metalloproteinases play a role in maintaining tissue homeostasis. Investigation of cellular responses to experimental phonation may provide insight into how matrix met-alloproteinases and other extracellular matrices contribute to maintenance of the vocal fold and development of pathology.","container-title":"Otolaryngology—Head and Neck Surgery","DOI":"10.1016/j.otohns.2007.10.024","issue":"1","page":"62-68","title":"Experimentally induced phonation increases matrix metalloproteinase-1 gene expression in normal rabbit vocal fold","volume":"138","author":[{"family":"Rousseau","given":"Bernard"},{"family":"Ge","given":"Pingjiang"},{"family":"French","given":"Lesley C"},{"family":"Zealear","given":"David L"},{"family":"Thibeault","given":"Susan L"},{"family":"Ossoff","given":"Robert H"}],"issued":{"date-parts":[["2008"]]}}}],"schema":"https://github.com/citation-style-language/schema/raw/master/csl-citation.json"} </w:instrText>
      </w:r>
      <w:r>
        <w:rPr>
          <w:color w:val="000000"/>
        </w:rPr>
        <w:fldChar w:fldCharType="separate"/>
      </w:r>
      <w:r w:rsidR="00DA7707" w:rsidRPr="00DA7707">
        <w:rPr>
          <w:vertAlign w:val="superscript"/>
        </w:rPr>
        <w:t>90,91</w:t>
      </w:r>
      <w:r>
        <w:rPr>
          <w:color w:val="000000"/>
        </w:rPr>
        <w:fldChar w:fldCharType="end"/>
      </w:r>
      <w:r>
        <w:rPr>
          <w:color w:val="000000"/>
        </w:rPr>
        <w:t xml:space="preserve"> MMP-9,</w:t>
      </w:r>
      <w:r>
        <w:rPr>
          <w:color w:val="000000"/>
        </w:rPr>
        <w:fldChar w:fldCharType="begin"/>
      </w:r>
      <w:r w:rsidR="00DA7707">
        <w:rPr>
          <w:color w:val="000000"/>
        </w:rPr>
        <w:instrText xml:space="preserve"> ADDIN ZOTERO_ITEM CSL_CITATION {"citationID":"Qd3wKu9b","properties":{"formattedCitation":"\\super 90\\nosupersub{}","plainCitation":"90","noteIndex":0},"citationItems":[{"id":54,"uris":["http://zotero.org/users/6281125/items/T3GCG2PJ"],"uri":["http://zotero.org/users/6281125/items/T3GCG2PJ"],"itemData":{"id":54,"type":"article-journal","abstract":"Objectives: We determined the expression of matrix metalloproteinase (MMP)-1, MMP-9, collagen types I and III, and fibronectin from rabbit vocal folds after injury. Methods: Thirty rabbits were involved in this study. Five animals were assigned to each time period. Noninjured vocal fold specimens were collected as a control. Gene expression was analyzed at 2, 4, 8, 24, 48, and 72 hours after injury by use of real-time polymerase chain reaction. Results: Compared to 2 hours after injury, MMP-1 expression was increased at 4, 8, 24, 48, and 72 hours. Compared to 4 hours, MMP-1 expression was increased at 8, 24, 48, and 72 hours. Compared to the control specimens, MMP-9 expression was increased at 4, 8, 24, 48, and 72 hours. Compared to 2 hours, MMP-9 expression was increased at 4, 8, 24, 48, and 72 hours. Compared to 2 and 4 hours, collagen type I expression was increased at 72 hours. Collagen type III expression was increased at 72 hours compared to 2, 4, and 8 hours. Compared to 2 hours, fibronectin expression was increased at 24, 48, and 72 hours. Conclusions: Results revealed time-dependent changes in expression of MMP-1, MMP-9, collagen types I and III, and fibronectin from rabbit vocal folds after injury. Future experiments are planned to investigate the effects of phonation on expression of these genes after injury. © 2008 Annals Publishing Company. All rights reserved.","container-title":"Annals of Otology, Rhinology and Laryngology","DOI":"10.1177/000348940811700809","ISSN":"00034894","issue":"8","note":"PMID: 18771077","page":"598-603","title":"Extracellular matrix gene expression after vocal fold injury in a rabbit model","volume":"117","author":[{"family":"Rousseau","given":"Bernard"},{"family":"Ge","given":"Ping Jiang"},{"family":"Ohno","given":"Tsunehisa"},{"family":"French","given":"Lesley C."},{"family":"Thibeault","given":"Susan L."}],"issued":{"date-parts":[["2008"]]}}}],"schema":"https://github.com/citation-style-language/schema/raw/master/csl-citation.json"} </w:instrText>
      </w:r>
      <w:r>
        <w:rPr>
          <w:color w:val="000000"/>
        </w:rPr>
        <w:fldChar w:fldCharType="separate"/>
      </w:r>
      <w:r w:rsidR="00DA7707" w:rsidRPr="00DA7707">
        <w:rPr>
          <w:vertAlign w:val="superscript"/>
        </w:rPr>
        <w:t>90</w:t>
      </w:r>
      <w:r>
        <w:rPr>
          <w:color w:val="000000"/>
        </w:rPr>
        <w:fldChar w:fldCharType="end"/>
      </w:r>
      <w:r>
        <w:rPr>
          <w:color w:val="000000"/>
        </w:rPr>
        <w:t xml:space="preserve"> f</w:t>
      </w:r>
      <w:r w:rsidRPr="000D12C7">
        <w:rPr>
          <w:color w:val="000000"/>
        </w:rPr>
        <w:t>ibronectin, and collagen</w:t>
      </w:r>
      <w:r w:rsidRPr="000D12C7">
        <w:rPr>
          <w:color w:val="000000"/>
        </w:rPr>
        <w:fldChar w:fldCharType="begin" w:fldLock="1"/>
      </w:r>
      <w:r w:rsidR="00DA7707">
        <w:rPr>
          <w:color w:val="000000"/>
        </w:rPr>
        <w:instrText xml:space="preserve"> ADDIN ZOTERO_ITEM CSL_CITATION {"citationID":"T9H5uzom","properties":{"formattedCitation":"\\super 89,90\\nosupersub{}","plainCitation":"89,90","noteIndex":0},"citationItems":[{"id":"cN3eXgV6/NMa9syU3","uris":["http://www.mendeley.com/documents/?uuid=7e998bed-51a8-4af5-9bad-84596e806c77"],"uri":["http://www.mendeley.com/documents/?uuid=7e998bed-51a8-4af5-9bad-84596e806c77"],"itemData":{"DOI":"10.1177/000348940611500406","ISSN":"00034894","abstract":"Objectives: We used an acute vocal fold injury in a rat model to characterize vocal fold wound healing by studying the expression pattern of the extracellular matrix components in the vocal fold lamina propria. Methods: Vocal fold stripping was performed unilaterally in 27 Sprague-Dawley rats. The vocal folds were harvested at 5 time points (1, 3, 5, 7, and 14 days) and histologically analyzed by Alcian blue stain, trichrome stain, and immunofluorescence with antibodies to collagen type I, collagen type III, and fibronectin. Results: Re-epithelialization occurred by day 3 and was complete by day 14. Granulation tissue was formed by day 3. Hyaluronic acid and collagen type I appeared in injured vocal folds by day 3, peaked at day 5, and thereafter decreased. Collagen type III and fibronectin appeared by day 1 and continued to be intense at all time points after day 3. Conclusions: These results suggest that the expression of these extracellular matrix components peaks in the period around days 3 to 5, and that the characteristics of wound healing in the vocal fold are similar to those in the skin in the early phases, but differ during the subsequent remodeling phase. © 2006 Annals Publishing Company. All rights reserved.","author":[{"dropping-particle":"","family":"Tateya","given":"Tomoko","non-dropping-particle":"","parse-names":false,"suffix":""},{"dropping-particle":"","family":"Tateya","given":"Ichiro","non-dropping-particle":"","parse-names":false,"suffix":""},{"dropping-particle":"","family":"Sohn","given":"Jin Ho","non-dropping-particle":"","parse-names":false,"suffix":""},{"dropping-particle":"","family":"Bless","given":"Diane M.","non-dropping-particle":"","parse-names":false,"suffix":""}],"container-title":"Annals of Otology, Rhinology and Laryngology","id":"ITEM-1","issued":{"date-parts":[["2006"]]},"title":"Histological study of acute vocal fold injury in a rat model","type":"article-journal"}},{"id":54,"uris":["http://zotero.org/users/6281125/items/T3GCG2PJ"],"uri":["http://zotero.org/users/6281125/items/T3GCG2PJ"],"itemData":{"id":54,"type":"article-journal","abstract":"Objectives: We determined the expression of matrix metalloproteinase (MMP)-1, MMP-9, collagen types I and III, and fibronectin from rabbit vocal folds after injury. Methods: Thirty rabbits were involved in this study. Five animals were assigned to each time period. Noninjured vocal fold specimens were collected as a control. Gene expression was analyzed at 2, 4, 8, 24, 48, and 72 hours after injury by use of real-time polymerase chain reaction. Results: Compared to 2 hours after injury, MMP-1 expression was increased at 4, 8, 24, 48, and 72 hours. Compared to 4 hours, MMP-1 expression was increased at 8, 24, 48, and 72 hours. Compared to the control specimens, MMP-9 expression was increased at 4, 8, 24, 48, and 72 hours. Compared to 2 hours, MMP-9 expression was increased at 4, 8, 24, 48, and 72 hours. Compared to 2 and 4 hours, collagen type I expression was increased at 72 hours. Collagen type III expression was increased at 72 hours compared to 2, 4, and 8 hours. Compared to 2 hours, fibronectin expression was increased at 24, 48, and 72 hours. Conclusions: Results revealed time-dependent changes in expression of MMP-1, MMP-9, collagen types I and III, and fibronectin from rabbit vocal folds after injury. Future experiments are planned to investigate the effects of phonation on expression of these genes after injury. © 2008 Annals Publishing Company. All rights reserved.","container-title":"Annals of Otology, Rhinology and Laryngology","DOI":"10.1177/000348940811700809","ISSN":"00034894","issue":"8","note":"PMID: 18771077","page":"598-603","title":"Extracellular matrix gene expression after vocal fold injury in a rabbit model","volume":"117","author":[{"family":"Rousseau","given":"Bernard"},{"family":"Ge","given":"Ping Jiang"},{"family":"Ohno","given":"Tsunehisa"},{"family":"French","given":"Lesley C."},{"family":"Thibeault","given":"Susan L."}],"issued":{"date-parts":[["2008"]]}}}],"schema":"https://github.com/citation-style-language/schema/raw/master/csl-citation.json"} </w:instrText>
      </w:r>
      <w:r w:rsidRPr="000D12C7">
        <w:rPr>
          <w:color w:val="000000"/>
        </w:rPr>
        <w:fldChar w:fldCharType="separate"/>
      </w:r>
      <w:r w:rsidR="00DA7707" w:rsidRPr="00DA7707">
        <w:rPr>
          <w:vertAlign w:val="superscript"/>
        </w:rPr>
        <w:t>89,90</w:t>
      </w:r>
      <w:r w:rsidRPr="000D12C7">
        <w:rPr>
          <w:color w:val="000000"/>
        </w:rPr>
        <w:fldChar w:fldCharType="end"/>
      </w:r>
      <w:r w:rsidRPr="000D12C7">
        <w:rPr>
          <w:color w:val="000000"/>
        </w:rPr>
        <w:t xml:space="preserve"> during the first 3</w:t>
      </w:r>
      <w:r w:rsidR="00CA0752">
        <w:rPr>
          <w:color w:val="000000"/>
        </w:rPr>
        <w:t>-</w:t>
      </w:r>
      <w:r w:rsidRPr="000D12C7">
        <w:rPr>
          <w:color w:val="000000"/>
        </w:rPr>
        <w:t>days</w:t>
      </w:r>
      <w:r>
        <w:rPr>
          <w:color w:val="000000"/>
        </w:rPr>
        <w:t xml:space="preserve"> after</w:t>
      </w:r>
      <w:r w:rsidRPr="000D12C7">
        <w:rPr>
          <w:color w:val="000000"/>
        </w:rPr>
        <w:t xml:space="preserve"> injury. Increases in procollagen - a collagen precursor</w:t>
      </w:r>
      <w:r>
        <w:rPr>
          <w:color w:val="000000"/>
        </w:rPr>
        <w:t>,</w:t>
      </w:r>
      <w:r w:rsidRPr="000D12C7">
        <w:rPr>
          <w:color w:val="000000"/>
        </w:rPr>
        <w:t xml:space="preserve"> and nuclear factor kappa B (NF-ĸB) - a prototypical proinflammatory signaling pathway</w:t>
      </w:r>
      <w:r>
        <w:rPr>
          <w:color w:val="000000"/>
        </w:rPr>
        <w:t xml:space="preserve">, </w:t>
      </w:r>
      <w:r w:rsidRPr="000D12C7">
        <w:rPr>
          <w:color w:val="000000"/>
        </w:rPr>
        <w:t>were also observed</w:t>
      </w:r>
      <w:r>
        <w:rPr>
          <w:color w:val="000000"/>
        </w:rPr>
        <w:t>.</w:t>
      </w:r>
      <w:r w:rsidRPr="000D12C7">
        <w:rPr>
          <w:color w:val="000000"/>
        </w:rPr>
        <w:fldChar w:fldCharType="begin" w:fldLock="1"/>
      </w:r>
      <w:r w:rsidR="00DA7707">
        <w:rPr>
          <w:color w:val="000000"/>
        </w:rPr>
        <w:instrText xml:space="preserve"> ADDIN ZOTERO_ITEM CSL_CITATION {"citationID":"nzui8c08","properties":{"formattedCitation":"\\super 87\\nosupersub{}","plainCitation":"87","noteIndex":0},"citationItems":[{"id":"cN3eXgV6/R4hz0bJZ","uris":["http://www.mendeley.com/documents/?uuid=2a574919-96b5-4675-a56e-77150e7733d7"],"uri":["http://www.mendeley.com/documents/?uuid=2a574919-96b5-4675-a56e-77150e7733d7"],"itemData":{"DOI":"10.1177/000348940611501212","ISSN":"00034894","abstract":"Objectives: Vocal fold scarring is the major cause of voice disorders after voice surgery or laryngeal trauma. The role of inflammatory factors in vocal fold wound healing and fibrosis has not been adequately investigated. Scarless wound healing has been associated with decreased inflammatory responses. To understand scar formation and develop reliable treatments, it is necessary to control extracellular matrix production and inflammation. Thus, we examined the inflammation profile and extracellular matrix production in wounded vocal folds in the acute phase of wound healing. Methods: Vocal fold stripping was performed on 30 Sprague-Dawley rats. Vocal fold tissue was collected at 5 time points (4, 8, 16, 24, and 72 hours). We examined the in vivo messenger RNA expression profile of inflammatory factors interleukin 1β, interferon γ, tumor necrosis factor a, nuclear factor κβ, transforming growth factor β, and cyclooxygenase 2, as well as hyaluronic acid synthases 1 and 2, procollagen subtypes I and III, and elastin synthase in scarred vocal folds after injury, compared to normal vocal folds, using real-time reverse transcription-polymerase chain reaction. Results: The inflammatory factors showed a time-dependent sequence of expression peaks, starting with interleukin 1β, nuclear factor κβ, tumor necrosis factor α (4 and 8 hours), and transforming growth factor β (72 hours). Interferon γ decreased at 24 hours. Correspondingly, hyaluronic acid synthase 1 expression peaked first (4 and 8 hours), whereas hyaluronic acid synthase 2 expression peaked at 16 hours and again at 72 hours. Procollagen I expression peaked at 72 hours, whereas procollagen III decreased from 8 to 16 hours but peaked at 72 hours. Cyclooxygenase 2 expression was elevated, whereas elastin expression remained constant. Conclusions: The results show a clear profile of vocal fold inflammation with corresponding changes in extracellular matrix production. © 2006 Annals Publishing Company. All rights reserved.","author":[{"dropping-particle":"","family":"Lim","given":"Xinhong","non-dropping-particle":"","parse-names":false,"suffix":""},{"dropping-particle":"","family":"Tateya","given":"Ichiro","non-dropping-particle":"","parse-names":false,"suffix":""},{"dropping-particle":"","family":"Tateya","given":"Tomoko","non-dropping-particle":"","parse-names":false,"suffix":""},{"dropping-particle":"","family":"Muñoz-Del-Río","given":"Alejandro","non-dropping-particle":"","parse-names":false,"suffix":""},{"dropping-particle":"","family":"Bless","given":"Diane M.","non-dropping-particle":"","parse-names":false,"suffix":""}],"container-title":"Annals of Otology, Rhinology and Laryngology","id":"ITEM-1","issued":{"date-parts":[["2006"]]},"title":"Immediate inflammatory response and scar formation in wounded vocal folds","type":"article-journal"}}],"schema":"https://github.com/citation-style-language/schema/raw/master/csl-citation.json"} </w:instrText>
      </w:r>
      <w:r w:rsidRPr="000D12C7">
        <w:rPr>
          <w:color w:val="000000"/>
        </w:rPr>
        <w:fldChar w:fldCharType="separate"/>
      </w:r>
      <w:r w:rsidR="00DA7707" w:rsidRPr="00DA7707">
        <w:rPr>
          <w:vertAlign w:val="superscript"/>
        </w:rPr>
        <w:t>87</w:t>
      </w:r>
      <w:r w:rsidRPr="000D12C7">
        <w:rPr>
          <w:color w:val="000000"/>
        </w:rPr>
        <w:fldChar w:fldCharType="end"/>
      </w:r>
      <w:r w:rsidRPr="000D12C7">
        <w:rPr>
          <w:color w:val="000000"/>
        </w:rPr>
        <w:t xml:space="preserve"> </w:t>
      </w:r>
      <w:r>
        <w:rPr>
          <w:color w:val="000000"/>
        </w:rPr>
        <w:t>Similar studies using animals also observed decreases in gene</w:t>
      </w:r>
      <w:r w:rsidRPr="000D12C7">
        <w:rPr>
          <w:color w:val="000000"/>
        </w:rPr>
        <w:t xml:space="preserve"> transcript levels of the </w:t>
      </w:r>
      <w:r>
        <w:rPr>
          <w:color w:val="000000"/>
        </w:rPr>
        <w:t>epithelial cell junctions</w:t>
      </w:r>
      <w:r w:rsidRPr="000D12C7">
        <w:rPr>
          <w:color w:val="000000"/>
        </w:rPr>
        <w:t xml:space="preserve"> adhesion including</w:t>
      </w:r>
      <w:r w:rsidRPr="0063072D">
        <w:rPr>
          <w:i/>
          <w:iCs/>
          <w:color w:val="000000"/>
        </w:rPr>
        <w:t xml:space="preserve"> </w:t>
      </w:r>
      <w:r w:rsidRPr="007D2CB2">
        <w:rPr>
          <w:color w:val="000000"/>
        </w:rPr>
        <w:t>occludin</w:t>
      </w:r>
      <w:r w:rsidRPr="000D12C7">
        <w:rPr>
          <w:color w:val="000000"/>
        </w:rPr>
        <w:t>,</w:t>
      </w:r>
      <w:r w:rsidRPr="000D12C7">
        <w:rPr>
          <w:color w:val="000000"/>
        </w:rPr>
        <w:fldChar w:fldCharType="begin" w:fldLock="1"/>
      </w:r>
      <w:r w:rsidR="00DA7707">
        <w:rPr>
          <w:color w:val="000000"/>
        </w:rPr>
        <w:instrText xml:space="preserve"> ADDIN ZOTERO_ITEM CSL_CITATION {"citationID":"B795C9rr","properties":{"formattedCitation":"\\super 92\\uc0\\u8211{}94\\nosupersub{}","plainCitation":"92–94","noteIndex":0},"citationItems":[{"id":"cN3eXgV6/YGV8URdL","uris":["http://www.mendeley.com/documents/?uuid=01dc8adb-1b27-4b69-96b5-ba26c8bb042c"],"uri":["http://www.mendeley.com/documents/?uuid=01dc8adb-1b27-4b69-96b5-ba26c8bb042c"],"itemData":{"DOI":"10.1002/lary.21364","ISSN":"0023852X","abstract":"Objectives/Hypothesis: We investigated the hypothesis that 30 minutes of raised intensity phonation alters transcript levels of vocal fold intercellular tight junction proteins and disrupts the vocal fold epithelial barrier. Study Design: Prospective animal study. Methods: Eighteen New Zealand white breeder rabbits were randomly assigned to receive 30 minutes of raised intensity phonation or approximation of the vocal folds without phonation. Quantitative polymerase chain reaction (qPCR) was used to investigate transcript levels of the epithelial intercellular tight junction proteins, occludin and zonula occludin-1 (ZO-1), and the adherens junction proteins β-catenin and E-cadherin. Structural alterations to the vocal fold epithelium were further examined by scanning electron microscopy (SEM) and transmission electron microscopy (TEM). Results: Mann-Whitney U revealed significantly decreased occludin (P =.016) and β-catenin (P =.016) gene expression from rabbits undergoing raised intensity phonation compared with control. There were no significant differences in Z0-1 and E-cadherin gene expression between groups (P &gt;.025). SEM revealed significant obliteration, desquamation, and evidence of microhole formation in rabbit vocal folds exposed to raised intensity phonation compared with control, whereas TEM revealed dilated intercellular morphology between groups. Conclusions: Results provide support for the hypothesis that a transient episode of raised intensity phonation alters transcript levels of vocal fold intercellular tight junction proteins and disrupts integrity of the epithelial barrier. The loss of barrier integrity may have significant consequences on epithelial defenses and compromise protection of the underlying mucosa from damage secondary to prolonged vibration exposure. © 2011 The American Laryngological, Rhinological, and Otological Society, Inc.","author":[{"dropping-particle":"","family":"Rousseau","given":"Bernard","non-dropping-particle":"","parse-names":false,"suffix":""},{"dropping-particle":"","family":"Suehiro","given":"Atsushi","non-dropping-particle":"","parse-names":false,"suffix":""},{"dropping-particle":"","family":"Echemendia","given":"Nicholas","non-dropping-particle":"","parse-names":false,"suffix":""},{"dropping-particle":"","family":"Sivasankar","given":"Mahalakshmi","non-dropping-particle":"","parse-names":false,"suffix":""}],"container-title":"Laryngoscope","id":"ITEM-1","issued":{"date-parts":[["2011"]]},"title":"Raised intensity phonation compromises vocal fold epithelial barrier integrity","type":"article-journal"}},{"id":"cN3eXgV6/JfWHzxRn","uris":["http://www.mendeley.com/documents/?uuid=aed785e1-919e-3178-9819-bc31eda6ae2f"],"uri":["http://www.mendeley.com/documents/?uuid=aed785e1-919e-3178-9819-bc31eda6ae2f"],"itemData":{"DOI":"10.1159/000472251","ISSN":"1422-6421","PMID":"28647731","abstract":"We investigated the timeline of tissue repair of vocal fold epithelium after acute vibration exposure using an in vivo rabbit model. Sixty-five New Zealand white breeder rabbits were randomized to 120 min of modal- or raised-intensity phonation. After the larynges were harvested at 0, 4, 8, and 24 h, and at 3 and 7 days, the vocal fold tissue was evaluated using electron microscopy and quantitative real-time polymerase chain reaction. There was an immediate decrease in the microprojection depth and height following raised-intensity phonation, paired with upregulation of cyclooxygenase-2. This initial 24-h period was also characterized by the significant downregulation of junction proteins. Interleukin 1β and transforming growth factor β1 were upregulated for 3 and 7 days, respectively, followed by an increase in epithelial cell surface depth at 3 and 7 days. These data appear to demonstrate a shift from inflammatory response to the initiation of a restorative process in the vocal fold epithelium between 24 h and 3 days. Despite the initial damage from raised-intensity phonation, the vocal fold epithelium demonstrates a remarkable capacity for the expeditious recovery of structural changes from transient episodes of acute phonotrauma. While structurally intact, the return of functional barrier integrity may be delayed by repeated episodes of phonotrauma and may also play an important role in the pathophysiology of vocal fold lesions.","author":[{"dropping-particle":"","family":"Rousseau","given":"Bernard","non-dropping-particle":"","parse-names":false,"suffix":""},{"dropping-particle":"","family":"Kojima","given":"Tsuyoshi","non-dropping-particle":"","parse-names":false,"suffix":""},{"dropping-particle":"","family":"Novaleski","given":"Carolyn K","non-dropping-particle":"","parse-names":false,"suffix":""},{"dropping-particle":"","family":"Kimball","given":"Emily E","non-dropping-particle":"","parse-names":false,"suffix":""},{"dropping-particle":"V","family":"Valenzuela","given":"Carla","non-dropping-particle":"","parse-names":false,"suffix":""},{"dropping-particle":"","family":"Mizuta","given":"Masanobu","non-dropping-particle":"","parse-names":false,"suffix":""},{"dropping-particle":"","family":"Daniero","given":"James J","non-dropping-particle":"","parse-names":false,"suffix":""},{"dropping-particle":"","family":"Garrett","given":"C Gaelyn","non-dropping-particle":"","parse-names":false,"suffix":""},{"dropping-particle":"","family":"Sivasankar","given":"M Preeti","non-dropping-particle":"","parse-names":false,"suffix":""}],"container-title":"Cells, tissues, organs","id":"ITEM-2","issue":"2","issued":{"date-parts":[["2017"]]},"page":"93-104","publisher":"NIH Public Access","title":"Recovery of vocal fold epithelium after acute phonotrauma.","type":"article-journal","volume":"204"}},{"id":"cN3eXgV6/9flqAxvu","uris":["http://www.mendeley.com/documents/?uuid=443d5461-d5fe-3848-a638-fd8714408531"],"uri":["http://www.mendeley.com/documents/?uuid=443d5461-d5fe-3848-a638-fd8714408531"],"itemData":{"DOI":"10.1002/lary.24827","ISSN":"0023852X","author":[{"dropping-particle":"","family":"Kojima","given":"Tsuyoshi","non-dropping-particle":"","parse-names":false,"suffix":""},{"dropping-particle":"V.","family":"Valenzuela","given":"Carla","non-dropping-particle":"","parse-names":false,"suffix":""},{"dropping-particle":"","family":"Novaleski","given":"Carolyn K.","non-dropping-particle":"","parse-names":false,"suffix":""},{"dropping-particle":"","family":"Deusen","given":"Mark","non-dropping-particle":"Van","parse-names":false,"suffix":""},{"dropping-particle":"","family":"Mitchell","given":"Joshua R.","non-dropping-particle":"","parse-names":false,"suffix":""},{"dropping-particle":"","family":"Garrett","given":"C. Gaelyn","non-dropping-particle":"","parse-names":false,"suffix":""},{"dropping-particle":"","family":"Sivasankar","given":"M. Preeti","non-dropping-particle":"","parse-names":false,"suffix":""},{"dropping-particle":"","family":"Rousseau","given":"Bernard","non-dropping-particle":"","parse-names":false,"suffix":""}],"container-title":"The Laryngoscope","id":"ITEM-3","issue":"12","issued":{"date-parts":[["2014","12","1"]]},"page":"2770-2778","publisher":"John Wiley &amp; Sons, Ltd","title":"Effects of phonation time and magnitude dose on vocal fold epithelial genes, barrier integrity, and function","type":"article-journal","volume":"124"}}],"schema":"https://github.com/citation-style-language/schema/raw/master/csl-citation.json"} </w:instrText>
      </w:r>
      <w:r w:rsidRPr="000D12C7">
        <w:rPr>
          <w:color w:val="000000"/>
        </w:rPr>
        <w:fldChar w:fldCharType="separate"/>
      </w:r>
      <w:r w:rsidR="00DA7707" w:rsidRPr="00DA7707">
        <w:rPr>
          <w:vertAlign w:val="superscript"/>
        </w:rPr>
        <w:t>92–94</w:t>
      </w:r>
      <w:r w:rsidRPr="000D12C7">
        <w:rPr>
          <w:color w:val="000000"/>
        </w:rPr>
        <w:fldChar w:fldCharType="end"/>
      </w:r>
      <w:r w:rsidRPr="000D12C7">
        <w:rPr>
          <w:color w:val="000000"/>
        </w:rPr>
        <w:t xml:space="preserve"> </w:t>
      </w:r>
      <w:r w:rsidRPr="007D2CB2">
        <w:rPr>
          <w:color w:val="000000"/>
        </w:rPr>
        <w:t>tjp-1</w:t>
      </w:r>
      <w:r>
        <w:rPr>
          <w:i/>
          <w:iCs/>
          <w:color w:val="000000"/>
        </w:rPr>
        <w:t xml:space="preserve"> </w:t>
      </w:r>
      <w:r>
        <w:rPr>
          <w:color w:val="000000"/>
        </w:rPr>
        <w:t>(ZO-1 precursor)</w:t>
      </w:r>
      <w:r w:rsidRPr="000D12C7">
        <w:rPr>
          <w:color w:val="000000"/>
        </w:rPr>
        <w:t xml:space="preserve">, </w:t>
      </w:r>
      <w:r w:rsidRPr="007D2CB2">
        <w:rPr>
          <w:color w:val="000000"/>
        </w:rPr>
        <w:t>e-cadherin</w:t>
      </w:r>
      <w:r w:rsidRPr="000D12C7">
        <w:rPr>
          <w:color w:val="000000"/>
        </w:rPr>
        <w:t>,</w:t>
      </w:r>
      <w:r w:rsidRPr="000D12C7">
        <w:rPr>
          <w:color w:val="000000"/>
        </w:rPr>
        <w:fldChar w:fldCharType="begin" w:fldLock="1"/>
      </w:r>
      <w:r w:rsidR="00DA7707">
        <w:rPr>
          <w:color w:val="000000"/>
        </w:rPr>
        <w:instrText xml:space="preserve"> ADDIN ZOTERO_ITEM CSL_CITATION {"citationID":"Ih638VgM","properties":{"formattedCitation":"\\super 93,94\\nosupersub{}","plainCitation":"93,94","noteIndex":0},"citationItems":[{"id":"cN3eXgV6/9flqAxvu","uris":["http://www.mendeley.com/documents/?uuid=443d5461-d5fe-3848-a638-fd8714408531"],"uri":["http://www.mendeley.com/documents/?uuid=443d5461-d5fe-3848-a638-fd8714408531"],"itemData":{"DOI":"10.1002/lary.24827","ISSN":"0023852X","author":[{"dropping-particle":"","family":"Kojima","given":"Tsuyoshi","non-dropping-particle":"","parse-names":false,"suffix":""},{"dropping-particle":"V.","family":"Valenzuela","given":"Carla","non-dropping-particle":"","parse-names":false,"suffix":""},{"dropping-particle":"","family":"Novaleski","given":"Carolyn K.","non-dropping-particle":"","parse-names":false,"suffix":""},{"dropping-particle":"","family":"Deusen","given":"Mark","non-dropping-particle":"Van","parse-names":false,"suffix":""},{"dropping-particle":"","family":"Mitchell","given":"Joshua R.","non-dropping-particle":"","parse-names":false,"suffix":""},{"dropping-particle":"","family":"Garrett","given":"C. Gaelyn","non-dropping-particle":"","parse-names":false,"suffix":""},{"dropping-particle":"","family":"Sivasankar","given":"M. Preeti","non-dropping-particle":"","parse-names":false,"suffix":""},{"dropping-particle":"","family":"Rousseau","given":"Bernard","non-dropping-particle":"","parse-names":false,"suffix":""}],"container-title":"The Laryngoscope","id":"ITEM-1","issue":"12","issued":{"date-parts":[["2014","12","1"]]},"page":"2770-2778","publisher":"John Wiley &amp; Sons, Ltd","title":"Effects of phonation time and magnitude dose on vocal fold epithelial genes, barrier integrity, and function","type":"article-journal","volume":"124"}},{"id":"cN3eXgV6/JfWHzxRn","uris":["http://www.mendeley.com/documents/?uuid=aed785e1-919e-3178-9819-bc31eda6ae2f"],"uri":["http://www.mendeley.com/documents/?uuid=aed785e1-919e-3178-9819-bc31eda6ae2f"],"itemData":{"DOI":"10.1159/000472251","ISSN":"1422-6421","PMID":"28647731","abstract":"We investigated the timeline of tissue repair of vocal fold epithelium after acute vibration exposure using an in vivo rabbit model. Sixty-five New Zealand white breeder rabbits were randomized to 120 min of modal- or raised-intensity phonation. After the larynges were harvested at 0, 4, 8, and 24 h, and at 3 and 7 days, the vocal fold tissue was evaluated using electron microscopy and quantitative real-time polymerase chain reaction. There was an immediate decrease in the microprojection depth and height following raised-intensity phonation, paired with upregulation of cyclooxygenase-2. This initial 24-h period was also characterized by the significant downregulation of junction proteins. Interleukin 1β and transforming growth factor β1 were upregulated for 3 and 7 days, respectively, followed by an increase in epithelial cell surface depth at 3 and 7 days. These data appear to demonstrate a shift from inflammatory response to the initiation of a restorative process in the vocal fold epithelium between 24 h and 3 days. Despite the initial damage from raised-intensity phonation, the vocal fold epithelium demonstrates a remarkable capacity for the expeditious recovery of structural changes from transient episodes of acute phonotrauma. While structurally intact, the return of functional barrier integrity may be delayed by repeated episodes of phonotrauma and may also play an important role in the pathophysiology of vocal fold lesions.","author":[{"dropping-particle":"","family":"Rousseau","given":"Bernard","non-dropping-particle":"","parse-names":false,"suffix":""},{"dropping-particle":"","family":"Kojima","given":"Tsuyoshi","non-dropping-particle":"","parse-names":false,"suffix":""},{"dropping-particle":"","family":"Novaleski","given":"Carolyn K","non-dropping-particle":"","parse-names":false,"suffix":""},{"dropping-particle":"","family":"Kimball","given":"Emily E","non-dropping-particle":"","parse-names":false,"suffix":""},{"dropping-particle":"V","family":"Valenzuela","given":"Carla","non-dropping-particle":"","parse-names":false,"suffix":""},{"dropping-particle":"","family":"Mizuta","given":"Masanobu","non-dropping-particle":"","parse-names":false,"suffix":""},{"dropping-particle":"","family":"Daniero","given":"James J","non-dropping-particle":"","parse-names":false,"suffix":""},{"dropping-particle":"","family":"Garrett","given":"C Gaelyn","non-dropping-particle":"","parse-names":false,"suffix":""},{"dropping-particle":"","family":"Sivasankar","given":"M Preeti","non-dropping-particle":"","parse-names":false,"suffix":""}],"container-title":"Cells, tissues, organs","id":"ITEM-2","issue":"2","issued":{"date-parts":[["2017"]]},"page":"93-104","publisher":"NIH Public Access","title":"Recovery of vocal fold epithelium after acute phonotrauma.","type":"article-journal","volume":"204"}}],"schema":"https://github.com/citation-style-language/schema/raw/master/csl-citation.json"} </w:instrText>
      </w:r>
      <w:r w:rsidRPr="000D12C7">
        <w:rPr>
          <w:color w:val="000000"/>
        </w:rPr>
        <w:fldChar w:fldCharType="separate"/>
      </w:r>
      <w:r w:rsidR="00DA7707" w:rsidRPr="00DA7707">
        <w:rPr>
          <w:vertAlign w:val="superscript"/>
        </w:rPr>
        <w:t>93,94</w:t>
      </w:r>
      <w:r w:rsidRPr="000D12C7">
        <w:rPr>
          <w:color w:val="000000"/>
        </w:rPr>
        <w:fldChar w:fldCharType="end"/>
      </w:r>
      <w:r w:rsidRPr="000D12C7">
        <w:rPr>
          <w:color w:val="000000"/>
        </w:rPr>
        <w:t xml:space="preserve"> and </w:t>
      </w:r>
      <w:r w:rsidRPr="007D2CB2">
        <w:rPr>
          <w:color w:val="000000"/>
        </w:rPr>
        <w:t>β-catenin</w:t>
      </w:r>
      <w:r w:rsidRPr="000D12C7">
        <w:rPr>
          <w:color w:val="000000"/>
        </w:rPr>
        <w:fldChar w:fldCharType="begin" w:fldLock="1"/>
      </w:r>
      <w:r w:rsidR="00DA7707">
        <w:rPr>
          <w:color w:val="000000"/>
        </w:rPr>
        <w:instrText xml:space="preserve"> ADDIN ZOTERO_ITEM CSL_CITATION {"citationID":"Bn6hDnCG","properties":{"formattedCitation":"\\super 92\\nosupersub{}","plainCitation":"92","noteIndex":0},"citationItems":[{"id":"cN3eXgV6/YGV8URdL","uris":["http://www.mendeley.com/documents/?uuid=01dc8adb-1b27-4b69-96b5-ba26c8bb042c"],"uri":["http://www.mendeley.com/documents/?uuid=01dc8adb-1b27-4b69-96b5-ba26c8bb042c"],"itemData":{"DOI":"10.1002/lary.21364","ISSN":"0023852X","abstract":"Objectives/Hypothesis: We investigated the hypothesis that 30 minutes of raised intensity phonation alters transcript levels of vocal fold intercellular tight junction proteins and disrupts the vocal fold epithelial barrier. Study Design: Prospective animal study. Methods: Eighteen New Zealand white breeder rabbits were randomly assigned to receive 30 minutes of raised intensity phonation or approximation of the vocal folds without phonation. Quantitative polymerase chain reaction (qPCR) was used to investigate transcript levels of the epithelial intercellular tight junction proteins, occludin and zonula occludin-1 (ZO-1), and the adherens junction proteins β-catenin and E-cadherin. Structural alterations to the vocal fold epithelium were further examined by scanning electron microscopy (SEM) and transmission electron microscopy (TEM). Results: Mann-Whitney U revealed significantly decreased occludin (P =.016) and β-catenin (P =.016) gene expression from rabbits undergoing raised intensity phonation compared with control. There were no significant differences in Z0-1 and E-cadherin gene expression between groups (P &gt;.025). SEM revealed significant obliteration, desquamation, and evidence of microhole formation in rabbit vocal folds exposed to raised intensity phonation compared with control, whereas TEM revealed dilated intercellular morphology between groups. Conclusions: Results provide support for the hypothesis that a transient episode of raised intensity phonation alters transcript levels of vocal fold intercellular tight junction proteins and disrupts integrity of the epithelial barrier. The loss of barrier integrity may have significant consequences on epithelial defenses and compromise protection of the underlying mucosa from damage secondary to prolonged vibration exposure. © 2011 The American Laryngological, Rhinological, and Otological Society, Inc.","author":[{"dropping-particle":"","family":"Rousseau","given":"Bernard","non-dropping-particle":"","parse-names":false,"suffix":""},{"dropping-particle":"","family":"Suehiro","given":"Atsushi","non-dropping-particle":"","parse-names":false,"suffix":""},{"dropping-particle":"","family":"Echemendia","given":"Nicholas","non-dropping-particle":"","parse-names":false,"suffix":""},{"dropping-particle":"","family":"Sivasankar","given":"Mahalakshmi","non-dropping-particle":"","parse-names":false,"suffix":""}],"container-title":"Laryngoscope","id":"ITEM-1","issued":{"date-parts":[["2011"]]},"title":"Raised intensity phonation compromises vocal fold epithelial barrier integrity","type":"article-journal"}}],"schema":"https://github.com/citation-style-language/schema/raw/master/csl-citation.json"} </w:instrText>
      </w:r>
      <w:r w:rsidRPr="000D12C7">
        <w:rPr>
          <w:color w:val="000000"/>
        </w:rPr>
        <w:fldChar w:fldCharType="separate"/>
      </w:r>
      <w:r w:rsidR="00DA7707" w:rsidRPr="00DA7707">
        <w:rPr>
          <w:vertAlign w:val="superscript"/>
        </w:rPr>
        <w:t>92</w:t>
      </w:r>
      <w:r w:rsidRPr="000D12C7">
        <w:rPr>
          <w:color w:val="000000"/>
        </w:rPr>
        <w:fldChar w:fldCharType="end"/>
      </w:r>
      <w:r>
        <w:rPr>
          <w:color w:val="000000"/>
        </w:rPr>
        <w:t xml:space="preserve"> in the days following injury. Branski et al.</w:t>
      </w:r>
      <w:r>
        <w:rPr>
          <w:color w:val="000000"/>
        </w:rPr>
        <w:fldChar w:fldCharType="begin"/>
      </w:r>
      <w:r w:rsidR="00DA7707">
        <w:rPr>
          <w:color w:val="000000"/>
        </w:rPr>
        <w:instrText xml:space="preserve"> ADDIN ZOTERO_ITEM CSL_CITATION {"citationID":"VSvZeJVZ","properties":{"formattedCitation":"\\super 95\\nosupersub{}","plainCitation":"95","noteIndex":0},"citationItems":[{"id":60,"uris":["http://zotero.org/users/6281125/items/QYYF29S6"],"uri":["http://zotero.org/users/6281125/items/QYYF29S6"],"itemData":{"id":60,"type":"article-journal","abstract":"Several authors have eloquently described the characteristics of vocal fold scar, a long-term consequence of vocal fold injury. However, events in the acute stage of mucosal injury, which lead up to fibrosis, have been largely overlooked. The current study describes acute events with regard to mucosal re-formation in a rabbit model. Vocal fold injury was induced surgically. A fibrinous clot was present 1 day after injury. Massive cellular infiltration was noted on day 3, and complete epithelial coverage was achieved by day 5. Also, neo-matrix deposition was noted as early as 5 days after injury, and more mature collagen was seen by day 7. The general timetable described in the current study can contribute to the experimental foundation for the development of regenerative models of healing in the vocal folds. Most notably, the proliferation phase of wound healing appears to occur approximately 3 days after injury, indicating a critical time for intervention. Manipulation and/or alteration of naturally occurring neo-matrix deposition and organization may yield improved biophysical function of the injured vocal fold.","container-title":"Annals of Otology, Rhinology and Laryngology","DOI":"10.1177/000348940511400105","ISSN":"00034894","issue":"1","page":"19-24","title":"Acute vocal fold wound healing in a rabbit model","volume":"114","author":[{"family":"Branski","given":"Ryan C."},{"family":"Verdolini","given":"Katherine"},{"family":"Rosen","given":"Clark A."},{"family":"Hebda","given":"Patricia A."}],"issued":{"date-parts":[["2005"]]}}}],"schema":"https://github.com/citation-style-language/schema/raw/master/csl-citation.json"} </w:instrText>
      </w:r>
      <w:r>
        <w:rPr>
          <w:color w:val="000000"/>
        </w:rPr>
        <w:fldChar w:fldCharType="separate"/>
      </w:r>
      <w:r w:rsidR="00DA7707" w:rsidRPr="00DA7707">
        <w:rPr>
          <w:vertAlign w:val="superscript"/>
        </w:rPr>
        <w:t>95</w:t>
      </w:r>
      <w:r>
        <w:rPr>
          <w:color w:val="000000"/>
        </w:rPr>
        <w:fldChar w:fldCharType="end"/>
      </w:r>
      <w:r>
        <w:rPr>
          <w:color w:val="000000"/>
        </w:rPr>
        <w:t xml:space="preserve"> observed complete epithelial coverage to occur by day </w:t>
      </w:r>
      <w:r w:rsidR="00AE3A28">
        <w:rPr>
          <w:color w:val="000000"/>
        </w:rPr>
        <w:t>five</w:t>
      </w:r>
      <w:r>
        <w:rPr>
          <w:color w:val="000000"/>
        </w:rPr>
        <w:t xml:space="preserve"> after iatrogenic injury in a rabbit model.</w:t>
      </w:r>
    </w:p>
    <w:p w14:paraId="6D19D4CA" w14:textId="2D1E00A5" w:rsidR="00845E2F" w:rsidRDefault="0035281C" w:rsidP="0035281C">
      <w:pPr>
        <w:pBdr>
          <w:top w:val="nil"/>
          <w:left w:val="nil"/>
          <w:bottom w:val="nil"/>
          <w:right w:val="nil"/>
          <w:between w:val="nil"/>
        </w:pBdr>
        <w:ind w:right="-15"/>
        <w:rPr>
          <w:color w:val="000000"/>
        </w:rPr>
      </w:pPr>
      <w:r>
        <w:rPr>
          <w:color w:val="000000"/>
        </w:rPr>
        <w:t>Regarding the proliferation and remodeling phases of VF injury, studies in various animal models revealed increases in collagen</w:t>
      </w:r>
      <w:r>
        <w:rPr>
          <w:color w:val="000000"/>
        </w:rPr>
        <w:fldChar w:fldCharType="begin"/>
      </w:r>
      <w:r w:rsidR="00DA7707">
        <w:rPr>
          <w:color w:val="000000"/>
        </w:rPr>
        <w:instrText xml:space="preserve"> ADDIN ZOTERO_ITEM CSL_CITATION {"citationID":"Z0sWpsOr","properties":{"formattedCitation":"\\super 89,95\\uc0\\u8211{}97\\nosupersub{}","plainCitation":"89,95–97","noteIndex":0},"citationItems":[{"id":"cN3eXgV6/NMa9syU3","uris":["http://www.mendeley.com/documents/?uuid=7e998bed-51a8-4af5-9bad-84596e806c77"],"uri":["http://www.mendeley.com/documents/?uuid=7e998bed-51a8-4af5-9bad-84596e806c77"],"itemData":{"DOI":"10.1177/000348940611500406","ISSN":"00034894","abstract":"Objectives: We used an acute vocal fold injury in a rat model to characterize vocal fold wound healing by studying the expression pattern of the extracellular matrix components in the vocal fold lamina propria. Methods: Vocal fold stripping was performed unilaterally in 27 Sprague-Dawley rats. The vocal folds were harvested at 5 time points (1, 3, 5, 7, and 14 days) and histologically analyzed by Alcian blue stain, trichrome stain, and immunofluorescence with antibodies to collagen type I, collagen type III, and fibronectin. Results: Re-epithelialization occurred by day 3 and was complete by day 14. Granulation tissue was formed by day 3. Hyaluronic acid and collagen type I appeared in injured vocal folds by day 3, peaked at day 5, and thereafter decreased. Collagen type III and fibronectin appeared by day 1 and continued to be intense at all time points after day 3. Conclusions: These results suggest that the expression of these extracellular matrix components peaks in the period around days 3 to 5, and that the characteristics of wound healing in the vocal fold are similar to those in the skin in the early phases, but differ during the subsequent remodeling phase. © 2006 Annals Publishing Company. All rights reserved.","author":[{"dropping-particle":"","family":"Tateya","given":"Tomoko","non-dropping-particle":"","parse-names":false,"suffix":""},{"dropping-particle":"","family":"Tateya","given":"Ichiro","non-dropping-particle":"","parse-names":false,"suffix":""},{"dropping-particle":"","family":"Sohn","given":"Jin Ho","non-dropping-particle":"","parse-names":false,"suffix":""},{"dropping-particle":"","family":"Bless","given":"Diane M.","non-dropping-particle":"","parse-names":false,"suffix":""}],"container-title":"Annals of Otology, Rhinology and Laryngology","id":"k8TyM9uC/clWgkE5H","issued":{"date-parts":[["2006"]]},"title":"Histological study of acute vocal fold injury in a rat model","type":"article-journal"}},{"id":60,"uris":["http://zotero.org/users/6281125/items/QYYF29S6"],"uri":["http://zotero.org/users/6281125/items/QYYF29S6"],"itemData":{"id":60,"type":"article-journal","abstract":"Several authors have eloquently described the characteristics of vocal fold scar, a long-term consequence of vocal fold injury. However, events in the acute stage of mucosal injury, which lead up to fibrosis, have been largely overlooked. The current study describes acute events with regard to mucosal re-formation in a rabbit model. Vocal fold injury was induced surgically. A fibrinous clot was present 1 day after injury. Massive cellular infiltration was noted on day 3, and complete epithelial coverage was achieved by day 5. Also, neo-matrix deposition was noted as early as 5 days after injury, and more mature collagen was seen by day 7. The general timetable described in the current study can contribute to the experimental foundation for the development of regenerative models of healing in the vocal folds. Most notably, the proliferation phase of wound healing appears to occur approximately 3 days after injury, indicating a critical time for intervention. Manipulation and/or alteration of naturally occurring neo-matrix deposition and organization may yield improved biophysical function of the injured vocal fold.","container-title":"Annals of Otology, Rhinology and Laryngology","DOI":"10.1177/000348940511400105","ISSN":"00034894","issue":"1","page":"19-24","title":"Acute vocal fold wound healing in a rabbit model","volume":"114","author":[{"family":"Branski","given":"Ryan C."},{"family":"Verdolini","given":"Katherine"},{"family":"Rosen","given":"Clark A."},{"family":"Hebda","given":"Patricia A."}],"issued":{"date-parts":[["2005"]]}}},{"id":2524,"uris":["http://zotero.org/users/6281125/items/UM536SST"],"uri":["http://zotero.org/users/6281125/items/UM536SST"],"itemData":{"id":2524,"type":"article-journal","container-title":"Annals of Otology, Rhinology &amp; Laryngology","ISSN":"0003-4894","issue":"3","journalAbbreviation":"Annals of Otology, Rhinology &amp; Laryngology","note":"publisher: SAGE Publications Sage CA: Los Angeles, CA","page":"183-191","title":"Histologic characterization of rat vocal fold scarring","volume":"114","author":[{"family":"Tateya","given":"Tomoko"},{"family":"Sohn","given":"Jin Ho"},{"family":"Tateya","given":"Ichiro"},{"family":"Bless","given":"Diane M"}],"issued":{"date-parts":[["2005"]]}}},{"id":999,"uris":["http://zotero.org/users/6281125/items/CD7IVLEU"],"uri":["http://zotero.org/users/6281125/items/CD7IVLEU"],"itemData":{"id":999,"type":"article-journal","abstract":"To examine the functional effects of hyaluronan and collagen alterations in acute vocal fold scar, we injured 15 pig larynges by vocal fold mucosa stripping. At 3, 10, and 15 days after operation, we performed excised larynx experiments to measure phonation threshold pressure (PTP) and vocal economy (an acoustic output-cost ratio; OCR), and then performed hyaluronan and collagen assays. Five uninjured larynges were used as excised controls. Hyaluronan was reduced in the scarred vocal folds through 15 days of wound healing. Collagen was increased at day 15. The PTP was increased and OCR was decreased in scarred larynges, indicating decreased vocal efficiency and ease of phonation. Thus, PTP and OCR were sensitive to the biomolecular changes in acute vocal fold scar. Hyaluronan was more susceptible than collagen to acute tissue ultrastructural alterations. These findings may provide a rationale for increasing hyaluronan in acute vocal fold scar to improve postoperative vocal outcomes.","container-title":"Annals of Otology, Rhinology and Laryngology","DOI":"10.1177/000348940411301001","ISSN":"00034894","issue":"10","note":"container-title: Annals of Otology, Rhinology and Laryngology","page":"767-776","title":"Functional outcomes of reduced hyaluronan in acute vocal fold scar","volume":"113","author":[{"family":"Rousseau","given":"Bernard"},{"family":"Sohn","given":"Jinho"},{"family":"Tateya","given":"Ichiro"},{"family":"Montequin","given":"Douglas W."},{"family":"Bless","given":"Diane M."}],"issued":{"date-parts":[["2004"]]}}}],"schema":"https://github.com/citation-style-language/schema/raw/master/csl-citation.json"} </w:instrText>
      </w:r>
      <w:r>
        <w:rPr>
          <w:color w:val="000000"/>
        </w:rPr>
        <w:fldChar w:fldCharType="separate"/>
      </w:r>
      <w:r w:rsidR="00DA7707" w:rsidRPr="00DA7707">
        <w:rPr>
          <w:vertAlign w:val="superscript"/>
        </w:rPr>
        <w:t>89,95–97</w:t>
      </w:r>
      <w:r>
        <w:rPr>
          <w:color w:val="000000"/>
        </w:rPr>
        <w:fldChar w:fldCharType="end"/>
      </w:r>
      <w:r>
        <w:rPr>
          <w:color w:val="000000"/>
        </w:rPr>
        <w:t xml:space="preserve"> and fibronectin,</w:t>
      </w:r>
      <w:r>
        <w:rPr>
          <w:color w:val="000000"/>
        </w:rPr>
        <w:fldChar w:fldCharType="begin"/>
      </w:r>
      <w:r w:rsidR="00DA7707">
        <w:rPr>
          <w:color w:val="000000"/>
        </w:rPr>
        <w:instrText xml:space="preserve"> ADDIN ZOTERO_ITEM CSL_CITATION {"citationID":"R62pjKqI","properties":{"formattedCitation":"\\super 96\\nosupersub{}","plainCitation":"96","noteIndex":0},"citationItems":[{"id":2524,"uris":["http://zotero.org/users/6281125/items/UM536SST"],"uri":["http://zotero.org/users/6281125/items/UM536SST"],"itemData":{"id":2524,"type":"article-journal","container-title":"Annals of Otology, Rhinology &amp; Laryngology","ISSN":"0003-4894","issue":"3","journalAbbreviation":"Annals of Otology, Rhinology &amp; Laryngology","note":"publisher: SAGE Publications Sage CA: Los Angeles, CA","page":"183-191","title":"Histologic characterization of rat vocal fold scarring","volume":"114","author":[{"family":"Tateya","given":"Tomoko"},{"family":"Sohn","given":"Jin Ho"},{"family":"Tateya","given":"Ichiro"},{"family":"Bless","given":"Diane M"}],"issued":{"date-parts":[["2005"]]}}}],"schema":"https://github.com/citation-style-language/schema/raw/master/csl-citation.json"} </w:instrText>
      </w:r>
      <w:r>
        <w:rPr>
          <w:color w:val="000000"/>
        </w:rPr>
        <w:fldChar w:fldCharType="separate"/>
      </w:r>
      <w:r w:rsidR="00DA7707" w:rsidRPr="00DA7707">
        <w:rPr>
          <w:vertAlign w:val="superscript"/>
        </w:rPr>
        <w:t>96</w:t>
      </w:r>
      <w:r>
        <w:rPr>
          <w:color w:val="000000"/>
        </w:rPr>
        <w:fldChar w:fldCharType="end"/>
      </w:r>
      <w:r>
        <w:rPr>
          <w:color w:val="000000"/>
        </w:rPr>
        <w:t xml:space="preserve"> and decreases in HA</w:t>
      </w:r>
      <w:r>
        <w:rPr>
          <w:color w:val="000000"/>
        </w:rPr>
        <w:fldChar w:fldCharType="begin"/>
      </w:r>
      <w:r w:rsidR="00DA7707">
        <w:rPr>
          <w:color w:val="000000"/>
        </w:rPr>
        <w:instrText xml:space="preserve"> ADDIN ZOTERO_ITEM CSL_CITATION {"citationID":"KWrZlvna","properties":{"formattedCitation":"\\super 97,98\\nosupersub{}","plainCitation":"97,98","noteIndex":0},"citationItems":[{"id":999,"uris":["http://zotero.org/users/6281125/items/CD7IVLEU"],"uri":["http://zotero.org/users/6281125/items/CD7IVLEU"],"itemData":{"id":999,"type":"article-journal","abstract":"To examine the functional effects of hyaluronan and collagen alterations in acute vocal fold scar, we injured 15 pig larynges by vocal fold mucosa stripping. At 3, 10, and 15 days after operation, we performed excised larynx experiments to measure phonation threshold pressure (PTP) and vocal economy (an acoustic output-cost ratio; OCR), and then performed hyaluronan and collagen assays. Five uninjured larynges were used as excised controls. Hyaluronan was reduced in the scarred vocal folds through 15 days of wound healing. Collagen was increased at day 15. The PTP was increased and OCR was decreased in scarred larynges, indicating decreased vocal efficiency and ease of phonation. Thus, PTP and OCR were sensitive to the biomolecular changes in acute vocal fold scar. Hyaluronan was more susceptible than collagen to acute tissue ultrastructural alterations. These findings may provide a rationale for increasing hyaluronan in acute vocal fold scar to improve postoperative vocal outcomes.","container-title":"Annals of Otology, Rhinology and Laryngology","DOI":"10.1177/000348940411301001","ISSN":"00034894","issue":"10","note":"container-title: Annals of Otology, Rhinology and Laryngology","page":"767-776","title":"Functional outcomes of reduced hyaluronan in acute vocal fold scar","volume":"113","author":[{"family":"Rousseau","given":"Bernard"},{"family":"Sohn","given":"Jinho"},{"family":"Tateya","given":"Ichiro"},{"family":"Montequin","given":"Douglas W."},{"family":"Bless","given":"Diane M."}],"issued":{"date-parts":[["2004"]]}}},{"id":"cN3eXgV6/r226wOZt","uris":["http://zotero.org/users/6281125/items/3RN2U8FL"],"uri":["http://zotero.org/users/6281125/items/3RN2U8FL"],"itemData":{"id":305,"type":"report","abstract":"Objectives/Hypothesis: The objective was to measure the level of hyaluronan during the first 15 days after vocal fold biopsy in a rabbit model. Study Design: Experimental, nonrandomized prospective study. Methods: Twenty-eight rabbits underwent unilateral vocal fold biopsy. The contralateral vocal fold was preserved as a control sample. On days 3, 5, 10, and 15 after biopsy, hyaluronan levels in the injured and normal vocal folds were measured immunohisto-logically and with an ELISA assay. Results: Hyaluro-nan levels in the injured vocal fold were lowest on day 3 and highest on day 5 after injury. Statistical analysis revealed that the injured vocal fold demonstrated significantly lower levels of hyaluronan on day 3 than on days 5, 10, and 15. On day 5, the injured vocal fold demonstrated significantly greater levels of hyaluro-nan than those observed on days 3, 10, and 15. Compared with the normal vocal fold, the injured vocal fold demonstrated significantly lower levels of hyalu-ronan on days 3, 10, and 15. No differences were observed between the injured and normal vocal fold on day 5, when the hyaluronan level was maximized in the injured vocal fold. Conclusion: Maximizing hyalu-ronan levels in the early stages of wound repair may have therapeutic potential for decreasing the incidence of vocal fold scar. Decreased hyaluronan levels may provide a less than optimal environment for normal tissue regeneration and may contribute to the formation of scar tissue in vocal fold lamina propria.","title":"Hyaluronan levels in acute vocal fold scar","URL":"https://onlinelibrary.wiley.com/doi/pdf/10.1097/00005537-200404000-00031","author":[{"family":"Thibeault","given":"Susan L"},{"family":"Rousseau","given":"Bernard"},{"family":"Welham","given":"Nathan V"},{"family":"Hirano","given":"Shigeru"},{"family":"Bless","given":"Diane M"}],"issued":{"date-parts":[["2004"]]}}}],"schema":"https://github.com/citation-style-language/schema/raw/master/csl-citation.json"} </w:instrText>
      </w:r>
      <w:r>
        <w:rPr>
          <w:color w:val="000000"/>
        </w:rPr>
        <w:fldChar w:fldCharType="separate"/>
      </w:r>
      <w:r w:rsidR="00DA7707" w:rsidRPr="00DA7707">
        <w:rPr>
          <w:vertAlign w:val="superscript"/>
        </w:rPr>
        <w:t>97,98</w:t>
      </w:r>
      <w:r>
        <w:rPr>
          <w:color w:val="000000"/>
        </w:rPr>
        <w:fldChar w:fldCharType="end"/>
      </w:r>
      <w:r>
        <w:rPr>
          <w:color w:val="000000"/>
        </w:rPr>
        <w:t xml:space="preserve"> approximately 2 to 3-weeks following VF injury. In the months following injury, increases in procollagen</w:t>
      </w:r>
      <w:r>
        <w:rPr>
          <w:color w:val="000000"/>
        </w:rPr>
        <w:fldChar w:fldCharType="begin"/>
      </w:r>
      <w:r w:rsidR="00DA7707">
        <w:rPr>
          <w:color w:val="000000"/>
        </w:rPr>
        <w:instrText xml:space="preserve"> ADDIN ZOTERO_ITEM CSL_CITATION {"citationID":"8giCbDbW","properties":{"formattedCitation":"\\super 99\\nosupersub{}","plainCitation":"99","noteIndex":0},"citationItems":[{"id":548,"uris":["http://zotero.org/users/6281125/items/LJFF76UE"],"uri":["http://zotero.org/users/6281125/items/LJFF76UE"],"itemData":{"id":548,"type":"article-journal","abstract":"Scarring of the vocal fold causes considerable dysphonia and presents significant treatment challenges. A rabbit model was developed to investigate the histologic ultrastructure and rheologic properties of the scarred vocal fold lamina propria. Eleven rabbit larynges were scarred by means of forcep biopsy. Sixty days postoperatively, the rabbits were sacrificed and their vocal folds were harvested. Histological analysis of the scarred and normal lamina propria was completed for collagen, procollagen, elastin, and hyaluronic acid. Linear viscoelastic shear properties of the tissues were also measured, including elastic shear modulus and dynamic viscosity. Compared to normal vocal fold lamina propria, scarred tissues demonstrated significantly less collagen, an increase in procollagen, and a decrease in elastin. Rheologically, both elastic shear modulus and dynamic viscosity were significantly higher for the scarred tissues. Increased stiffness and viscosity do not appear to result from an increase in collagen, but rather appear to be related to the presence of new, disorganized collagen scaffolding. Results are interpreted in terms of the possible role of interstitial proteins in the etiology of increased stiffness and viscosity, which requires further investigation. This animal model should allow for systematic future investigations of vocal fold scarring and its treatment.","container-title":"Journal of Voice","DOI":"10.1016/S0892-1997(02)00078-4","ISSN":"08921997","issue":"1","note":"PMID: 12002893","page":"96–104","title":"Histologic and rheologic characterization of vocal fold scarring","volume":"16","author":[{"family":"Thibeault","given":"Susan L."},{"family":"Gray","given":"Steven D."},{"family":"Bless","given":"Diane M."},{"family":"Chan","given":"Roger W."},{"family":"Ford","given":"Charles N."}],"issued":{"date-parts":[["2002"]]}}}],"schema":"https://github.com/citation-style-language/schema/raw/master/csl-citation.json"} </w:instrText>
      </w:r>
      <w:r>
        <w:rPr>
          <w:color w:val="000000"/>
        </w:rPr>
        <w:fldChar w:fldCharType="separate"/>
      </w:r>
      <w:r w:rsidR="00DA7707" w:rsidRPr="00DA7707">
        <w:rPr>
          <w:vertAlign w:val="superscript"/>
        </w:rPr>
        <w:t>99</w:t>
      </w:r>
      <w:r>
        <w:rPr>
          <w:color w:val="000000"/>
        </w:rPr>
        <w:fldChar w:fldCharType="end"/>
      </w:r>
      <w:r>
        <w:rPr>
          <w:color w:val="000000"/>
        </w:rPr>
        <w:t xml:space="preserve"> and collagen</w:t>
      </w:r>
      <w:r>
        <w:rPr>
          <w:color w:val="000000"/>
        </w:rPr>
        <w:fldChar w:fldCharType="begin"/>
      </w:r>
      <w:r w:rsidR="00DA7707">
        <w:rPr>
          <w:color w:val="000000"/>
        </w:rPr>
        <w:instrText xml:space="preserve"> ADDIN ZOTERO_ITEM CSL_CITATION {"citationID":"kcaTTp0u","properties":{"formattedCitation":"\\super 96,100,101\\nosupersub{}","plainCitation":"96,100,101","noteIndex":0},"citationItems":[{"id":2524,"uris":["http://zotero.org/users/6281125/items/UM536SST"],"uri":["http://zotero.org/users/6281125/items/UM536SST"],"itemData":{"id":2524,"type":"article-journal","container-title":"Annals of Otology, Rhinology &amp; Laryngology","ISSN":"0003-4894","issue":"3","journalAbbreviation":"Annals of Otology, Rhinology &amp; Laryngology","note":"publisher: SAGE Publications Sage CA: Los Angeles, CA","page":"183-191","title":"Histologic characterization of rat vocal fold scarring","volume":"114","author":[{"family":"Tateya","given":"Tomoko"},{"family":"Sohn","given":"Jin Ho"},{"family":"Tateya","given":"Ichiro"},{"family":"Bless","given":"Diane M"}],"issued":{"date-parts":[["2005"]]}}},{"id":21,"uris":["http://zotero.org/users/6281125/items/2SELXQEH"],"uri":["http://zotero.org/users/6281125/items/2SELXQEH"],"itemData":{"id":21,"type":"article-journal","abstract":"Objective: The objective was to assess the histological and viscoelastic shear tissue properties of the scarred vocal fold lamina propria at 2 and 6 months postoperatively in a canine model. Study Design: Experimental, nonrandomized prospective study. Methods: Six canine larynges were injured using a vocal fold stripping procedure. At 2 and 6 months postoperatively, histological analyses of the scarred and control lamina propria samples were completed for collagen, procollagen, elastin, and hyaluronic acid. Results: In canines killed at 2 months, scarred tissue samples contained increased procollagen and decreased elastin. Elastin fibers in the scarred lamina propria were characteristically tangled and disorganized. In canines killed at 6 months, scarred tissue samples showed decreased elastin and increased collagen. Collagen fibers formed thick, disorganized bundles, and elastin fibers were disorganized throughout the entire scarred vocal fold lamina propria. Viscoelastic shear tissue measurements revealed increased stiffness and viscosity in one of three cases at 2 months and in all three cases at 6 months, indicating increased stiffness and resistance to shear flow during oscillatory shear deformation for scarred tissue samples. No differences were observed between the two postoperative times. Conclusions: Results indicated that viscoelastic tissue changes may take place before scar maturation in the scarred vocal fold lamina propria and that, although abundant collagen deposition may influence viscoelastic shear tissue properties, disorganization of collagen and elastin fibers, thick bundle collagen formation, or the interplay of several of these factors might also play a contributing role.","container-title":"Laryngoscope","DOI":"10.1097/00005537-200304000-00007","ISSN":"0023852X","issue":"4","page":"620-627","title":"Characterization of vocal fold scarring in a canine model","volume":"113","author":[{"family":"Rousseau","given":"Bernard"},{"family":"Hirano","given":"Shigeru"},{"family":"Scheidt","given":"Troy D."},{"family":"Welham","given":"Nathan V."},{"family":"Thibeault","given":"Susan L."},{"family":"Chan","given":"Roger W."},{"family":"Bless","given":"Diane M."}],"issued":{"date-parts":[["2003"]]}}},{"id":627,"uris":["http://zotero.org/users/6281125/items/TCLAYZEH"],"uri":["http://zotero.org/users/6281125/items/TCLAYZEH"],"itemData":{"id":627,"type":"article-journal","abstract":"Summary The purpose of the current study was to assess the histologic and rheologic properties of the scarred vocal fold lamina propria during a chronic phase of wound repair in a rabbit model. Eighteen rabbit larynges were scarred using a procedure that involved stripping the vocal fold lamina propria down to the thyroarytenoid muscle, using 3-mm microforceps. The approximate dimension of injury to the vocal fold was 3 x 1.5 x 0.5 mm [length x width x depth]. At 6 months postoperatively, histologic analysis of the scarred and control lamina propria in eight of these rabbits was completed for collagen, procollagen, elastin, and hyaluronic acid. Compared with control samples, scarred tissue samples revealed fragmented and disorganized elastin fibers. Additionally, collagen was significantly increased, organized, and formed thick bundles in the scarred vocal fold lamina propria. Measurements of the viscoelastic shear properties of the scarred and control lamina propria in the remaining 10 rabbits revealed increased elastic shear modulus (G') in 8 of 10 scarred samples and increased dynamic viscosity (η') in 9 of 10 scarred samples. Although rheologic differences were not statistically significant, they revealed that on average, scarred samples were stiffer and more viscous than the normal controls. Histologic data are interpreted as indicating that by 6 months postinjury, the scarred rabbit vocal fold has reached a mature phase of wound repair, characterized by an increased, organized, and thick bundle collagen matrix. Rheologic data are interpreted as providing support for the potential role of increased, thick bundle collagen, and a disorganized elastin network on shear stiffness and dynamic viscosity in the chronic vocal fold scar. Based on these results, a 6-month postoperative time frame is proposed for future studies of chronic vocal fold scarring using the rabbit animal model.","container-title":"Journal of Voice","DOI":"10.1016/j.jvoice.2003.06.001","ISSN":"08921997","issue":"1","page":"116–124","title":"Characterization of chronic vocal fold scarringin a rabbit model","volume":"18","author":[{"family":"Rousseau","given":"Bernard"},{"family":"Hirano","given":"Shigeru"},{"family":"Chan","given":"Roger W"},{"family":"Welham","given":"Nathan V"},{"family":"Thibeault","given":"Susan L"},{"family":"Ford","given":"Charles N"},{"family":"Bless","given":"Diane M"}],"issued":{"date-parts":[["2004"]]}}}],"schema":"https://github.com/citation-style-language/schema/raw/master/csl-citation.json"} </w:instrText>
      </w:r>
      <w:r>
        <w:rPr>
          <w:color w:val="000000"/>
        </w:rPr>
        <w:fldChar w:fldCharType="separate"/>
      </w:r>
      <w:r w:rsidR="00DA7707" w:rsidRPr="00DA7707">
        <w:rPr>
          <w:vertAlign w:val="superscript"/>
        </w:rPr>
        <w:t>96,100,101</w:t>
      </w:r>
      <w:r>
        <w:rPr>
          <w:color w:val="000000"/>
        </w:rPr>
        <w:fldChar w:fldCharType="end"/>
      </w:r>
      <w:r>
        <w:rPr>
          <w:color w:val="000000"/>
        </w:rPr>
        <w:t xml:space="preserve"> and decreases in HA</w:t>
      </w:r>
      <w:r>
        <w:rPr>
          <w:color w:val="000000"/>
        </w:rPr>
        <w:fldChar w:fldCharType="begin"/>
      </w:r>
      <w:r w:rsidR="00DA7707">
        <w:rPr>
          <w:color w:val="000000"/>
        </w:rPr>
        <w:instrText xml:space="preserve"> ADDIN ZOTERO_ITEM CSL_CITATION {"citationID":"6UVOLeRz","properties":{"formattedCitation":"\\super 96\\nosupersub{}","plainCitation":"96","noteIndex":0},"citationItems":[{"id":2524,"uris":["http://zotero.org/users/6281125/items/UM536SST"],"uri":["http://zotero.org/users/6281125/items/UM536SST"],"itemData":{"id":2524,"type":"article-journal","container-title":"Annals of Otology, Rhinology &amp; Laryngology","ISSN":"0003-4894","issue":"3","journalAbbreviation":"Annals of Otology, Rhinology &amp; Laryngology","note":"publisher: SAGE Publications Sage CA: Los Angeles, CA","page":"183-191","title":"Histologic characterization of rat vocal fold scarring","volume":"114","author":[{"family":"Tateya","given":"Tomoko"},{"family":"Sohn","given":"Jin Ho"},{"family":"Tateya","given":"Ichiro"},{"family":"Bless","given":"Diane M"}],"issued":{"date-parts":[["2005"]]}}}],"schema":"https://github.com/citation-style-language/schema/raw/master/csl-citation.json"} </w:instrText>
      </w:r>
      <w:r>
        <w:rPr>
          <w:color w:val="000000"/>
        </w:rPr>
        <w:fldChar w:fldCharType="separate"/>
      </w:r>
      <w:r w:rsidR="00DA7707" w:rsidRPr="00DA7707">
        <w:rPr>
          <w:vertAlign w:val="superscript"/>
        </w:rPr>
        <w:t>96</w:t>
      </w:r>
      <w:r>
        <w:rPr>
          <w:color w:val="000000"/>
        </w:rPr>
        <w:fldChar w:fldCharType="end"/>
      </w:r>
      <w:r>
        <w:rPr>
          <w:color w:val="000000"/>
        </w:rPr>
        <w:t xml:space="preserve"> and elastin</w:t>
      </w:r>
      <w:r>
        <w:rPr>
          <w:color w:val="000000"/>
        </w:rPr>
        <w:fldChar w:fldCharType="begin"/>
      </w:r>
      <w:r w:rsidR="00DA7707">
        <w:rPr>
          <w:color w:val="000000"/>
        </w:rPr>
        <w:instrText xml:space="preserve"> ADDIN ZOTERO_ITEM CSL_CITATION {"citationID":"p0gAPt7O","properties":{"formattedCitation":"\\super 100\\nosupersub{}","plainCitation":"100","noteIndex":0},"citationItems":[{"id":21,"uris":["http://zotero.org/users/6281125/items/2SELXQEH"],"uri":["http://zotero.org/users/6281125/items/2SELXQEH"],"itemData":{"id":21,"type":"article-journal","abstract":"Objective: The objective was to assess the histological and viscoelastic shear tissue properties of the scarred vocal fold lamina propria at 2 and 6 months postoperatively in a canine model. Study Design: Experimental, nonrandomized prospective study. Methods: Six canine larynges were injured using a vocal fold stripping procedure. At 2 and 6 months postoperatively, histological analyses of the scarred and control lamina propria samples were completed for collagen, procollagen, elastin, and hyaluronic acid. Results: In canines killed at 2 months, scarred tissue samples contained increased procollagen and decreased elastin. Elastin fibers in the scarred lamina propria were characteristically tangled and disorganized. In canines killed at 6 months, scarred tissue samples showed decreased elastin and increased collagen. Collagen fibers formed thick, disorganized bundles, and elastin fibers were disorganized throughout the entire scarred vocal fold lamina propria. Viscoelastic shear tissue measurements revealed increased stiffness and viscosity in one of three cases at 2 months and in all three cases at 6 months, indicating increased stiffness and resistance to shear flow during oscillatory shear deformation for scarred tissue samples. No differences were observed between the two postoperative times. Conclusions: Results indicated that viscoelastic tissue changes may take place before scar maturation in the scarred vocal fold lamina propria and that, although abundant collagen deposition may influence viscoelastic shear tissue properties, disorganization of collagen and elastin fibers, thick bundle collagen formation, or the interplay of several of these factors might also play a contributing role.","container-title":"Laryngoscope","DOI":"10.1097/00005537-200304000-00007","ISSN":"0023852X","issue":"4","page":"620-627","title":"Characterization of vocal fold scarring in a canine model","volume":"113","author":[{"family":"Rousseau","given":"Bernard"},{"family":"Hirano","given":"Shigeru"},{"family":"Scheidt","given":"Troy D."},{"family":"Welham","given":"Nathan V."},{"family":"Thibeault","given":"Susan L."},{"family":"Chan","given":"Roger W."},{"family":"Bless","given":"Diane M."}],"issued":{"date-parts":[["2003"]]}}}],"schema":"https://github.com/citation-style-language/schema/raw/master/csl-citation.json"} </w:instrText>
      </w:r>
      <w:r>
        <w:rPr>
          <w:color w:val="000000"/>
        </w:rPr>
        <w:fldChar w:fldCharType="separate"/>
      </w:r>
      <w:r w:rsidR="00DA7707" w:rsidRPr="00DA7707">
        <w:rPr>
          <w:vertAlign w:val="superscript"/>
        </w:rPr>
        <w:t>100</w:t>
      </w:r>
      <w:r>
        <w:rPr>
          <w:color w:val="000000"/>
        </w:rPr>
        <w:fldChar w:fldCharType="end"/>
      </w:r>
      <w:r>
        <w:rPr>
          <w:color w:val="000000"/>
        </w:rPr>
        <w:t xml:space="preserve"> were observed. However, a study in rabbits </w:t>
      </w:r>
      <w:r w:rsidR="00645D32">
        <w:rPr>
          <w:color w:val="000000"/>
        </w:rPr>
        <w:t>revealed</w:t>
      </w:r>
      <w:r>
        <w:rPr>
          <w:color w:val="000000"/>
        </w:rPr>
        <w:t xml:space="preserve"> a decrease in collagen fiber density 2-months after injury.</w:t>
      </w:r>
      <w:r>
        <w:rPr>
          <w:color w:val="000000"/>
        </w:rPr>
        <w:fldChar w:fldCharType="begin"/>
      </w:r>
      <w:r w:rsidR="00DA7707">
        <w:rPr>
          <w:color w:val="000000"/>
        </w:rPr>
        <w:instrText xml:space="preserve"> ADDIN ZOTERO_ITEM CSL_CITATION {"citationID":"a2mfbnuprvq","properties":{"formattedCitation":"\\super 99\\nosupersub{}","plainCitation":"99","noteIndex":0},"citationItems":[{"id":548,"uris":["http://zotero.org/users/6281125/items/LJFF76UE"],"uri":["http://zotero.org/users/6281125/items/LJFF76UE"],"itemData":{"id":548,"type":"article-journal","abstract":"Scarring of the vocal fold causes considerable dysphonia and presents significant treatment challenges. A rabbit model was developed to investigate the histologic ultrastructure and rheologic properties of the scarred vocal fold lamina propria. Eleven rabbit larynges were scarred by means of forcep biopsy. Sixty days postoperatively, the rabbits were sacrificed and their vocal folds were harvested. Histological analysis of the scarred and normal lamina propria was completed for collagen, procollagen, elastin, and hyaluronic acid. Linear viscoelastic shear properties of the tissues were also measured, including elastic shear modulus and dynamic viscosity. Compared to normal vocal fold lamina propria, scarred tissues demonstrated significantly less collagen, an increase in procollagen, and a decrease in elastin. Rheologically, both elastic shear modulus and dynamic viscosity were significantly higher for the scarred tissues. Increased stiffness and viscosity do not appear to result from an increase in collagen, but rather appear to be related to the presence of new, disorganized collagen scaffolding. Results are interpreted in terms of the possible role of interstitial proteins in the etiology of increased stiffness and viscosity, which requires further investigation. This animal model should allow for systematic future investigations of vocal fold scarring and its treatment.","container-title":"Journal of Voice","DOI":"10.1016/S0892-1997(02)00078-4","ISSN":"08921997","issue":"1","note":"PMID: 12002893","page":"96–104","title":"Histologic and rheologic characterization of vocal fold scarring","volume":"16","author":[{"family":"Thibeault","given":"Susan L."},{"family":"Gray","given":"Steven D."},{"family":"Bless","given":"Diane M."},{"family":"Chan","given":"Roger W."},{"family":"Ford","given":"Charles N."}],"issued":{"date-parts":[["2002"]]}}}],"schema":"https://github.com/citation-style-language/schema/raw/master/csl-citation.json"} </w:instrText>
      </w:r>
      <w:r>
        <w:rPr>
          <w:color w:val="000000"/>
        </w:rPr>
        <w:fldChar w:fldCharType="separate"/>
      </w:r>
      <w:r w:rsidR="00DA7707" w:rsidRPr="00DA7707">
        <w:rPr>
          <w:vertAlign w:val="superscript"/>
        </w:rPr>
        <w:t>99</w:t>
      </w:r>
      <w:r>
        <w:rPr>
          <w:color w:val="000000"/>
        </w:rPr>
        <w:fldChar w:fldCharType="end"/>
      </w:r>
      <w:r>
        <w:rPr>
          <w:color w:val="000000"/>
        </w:rPr>
        <w:t xml:space="preserve"> </w:t>
      </w:r>
      <w:r w:rsidR="006F6BC3">
        <w:rPr>
          <w:color w:val="000000"/>
        </w:rPr>
        <w:t xml:space="preserve">A summary of these findings </w:t>
      </w:r>
      <w:r w:rsidR="00BA38A8">
        <w:rPr>
          <w:color w:val="000000"/>
        </w:rPr>
        <w:t>is</w:t>
      </w:r>
      <w:r w:rsidR="006F6BC3">
        <w:rPr>
          <w:color w:val="000000"/>
        </w:rPr>
        <w:t xml:space="preserve"> displayed in Table 1. </w:t>
      </w:r>
      <w:r>
        <w:rPr>
          <w:color w:val="000000"/>
        </w:rPr>
        <w:t xml:space="preserve">Although there is a paucity in the literature distinguishing the morphological differences between VF scar, nodules, polyps, </w:t>
      </w:r>
      <w:r w:rsidR="00C12001">
        <w:rPr>
          <w:color w:val="000000"/>
        </w:rPr>
        <w:t xml:space="preserve">and </w:t>
      </w:r>
      <w:r>
        <w:rPr>
          <w:color w:val="000000"/>
        </w:rPr>
        <w:t>cysts, human VF nodule biopsies have demonstrated increased collagen deposition and increased fibronectin deposition,</w:t>
      </w:r>
      <w:r w:rsidR="00645D32">
        <w:rPr>
          <w:color w:val="000000"/>
        </w:rPr>
        <w:fldChar w:fldCharType="begin"/>
      </w:r>
      <w:r w:rsidR="00DA7707">
        <w:rPr>
          <w:color w:val="000000"/>
        </w:rPr>
        <w:instrText xml:space="preserve"> ADDIN ZOTERO_ITEM CSL_CITATION {"citationID":"amon5ebslb","properties":{"formattedCitation":"\\super 102\\nosupersub{}","plainCitation":"102","noteIndex":0},"citationItems":[{"id":2526,"uris":["http://zotero.org/users/6281125/items/DJPII6D3"],"uri":["http://zotero.org/users/6281125/items/DJPII6D3"],"itemData":{"id":2526,"type":"article-journal","container-title":"Acta Oto-Laryngologica","ISSN":"0001-6489","issue":"5-6","journalAbbreviation":"Acta Oto-Laryngologica","note":"publisher: Taylor &amp; Francis","page":"477-482","title":"Ultrastructural features of vocal fold nodules and polyps","volume":"105","author":[{"family":"Kotby","given":"MN"},{"family":"Nassar","given":"AM"},{"family":"Seif","given":"EI"},{"family":"Helal","given":"EH"},{"family":"Saleh","given":"MM"}],"issued":{"date-parts":[["1988"]]}}}],"schema":"https://github.com/citation-style-language/schema/raw/master/csl-citation.json"} </w:instrText>
      </w:r>
      <w:r w:rsidR="00645D32">
        <w:rPr>
          <w:color w:val="000000"/>
        </w:rPr>
        <w:fldChar w:fldCharType="separate"/>
      </w:r>
      <w:r w:rsidR="00DA7707" w:rsidRPr="00DA7707">
        <w:rPr>
          <w:vertAlign w:val="superscript"/>
        </w:rPr>
        <w:t>102</w:t>
      </w:r>
      <w:r w:rsidR="00645D32">
        <w:rPr>
          <w:color w:val="000000"/>
        </w:rPr>
        <w:fldChar w:fldCharType="end"/>
      </w:r>
      <w:r>
        <w:rPr>
          <w:color w:val="000000"/>
        </w:rPr>
        <w:t xml:space="preserve"> while polyps had less fibronectin deposition compared to nodules.</w:t>
      </w:r>
      <w:r>
        <w:rPr>
          <w:color w:val="000000"/>
        </w:rPr>
        <w:fldChar w:fldCharType="begin"/>
      </w:r>
      <w:r w:rsidR="00DA7707">
        <w:rPr>
          <w:color w:val="000000"/>
        </w:rPr>
        <w:instrText xml:space="preserve"> ADDIN ZOTERO_ITEM CSL_CITATION {"citationID":"a23miclbjdu","properties":{"formattedCitation":"\\super 103\\nosupersub{}","plainCitation":"103","noteIndex":0},"citationItems":[{"id":2527,"uris":["http://zotero.org/users/6281125/items/DF4Q7KFW"],"uri":["http://zotero.org/users/6281125/items/DF4Q7KFW"],"itemData":{"id":2527,"type":"article-journal","container-title":"Annals of Otology, Rhinology &amp; Laryngology","ISSN":"0003-4894","issue":"7","journalAbbreviation":"Annals of Otology, Rhinology &amp; Laryngology","note":"publisher: SAGE Publications Sage CA: Los Angeles, CA","page":"525-531","title":"Immunohistochemical characterization of benign laryngeal lesions","volume":"105","author":[{"family":"Courey","given":"Mark S"},{"family":"Scott","given":"Margie A"},{"family":"Shohet","given":"Jack A"},{"family":"Ossoff","given":"Robert H"}],"issued":{"date-parts":[["1996"]]}}}],"schema":"https://github.com/citation-style-language/schema/raw/master/csl-citation.json"} </w:instrText>
      </w:r>
      <w:r>
        <w:rPr>
          <w:color w:val="000000"/>
        </w:rPr>
        <w:fldChar w:fldCharType="separate"/>
      </w:r>
      <w:r w:rsidR="00DA7707" w:rsidRPr="00DA7707">
        <w:rPr>
          <w:vertAlign w:val="superscript"/>
        </w:rPr>
        <w:t>103</w:t>
      </w:r>
      <w:r>
        <w:rPr>
          <w:color w:val="000000"/>
        </w:rPr>
        <w:fldChar w:fldCharType="end"/>
      </w:r>
      <w:r>
        <w:rPr>
          <w:color w:val="000000"/>
        </w:rPr>
        <w:t xml:space="preserve"> </w:t>
      </w:r>
    </w:p>
    <w:p w14:paraId="1EF5B70A" w14:textId="4D039735" w:rsidR="00845E2F" w:rsidRDefault="00845E2F" w:rsidP="004667C2">
      <w:pPr>
        <w:pStyle w:val="Caption"/>
        <w:keepNext/>
      </w:pPr>
      <w:bookmarkStart w:id="32" w:name="_Toc88218589"/>
      <w:r>
        <w:t xml:space="preserve">Table </w:t>
      </w:r>
      <w:r>
        <w:fldChar w:fldCharType="begin"/>
      </w:r>
      <w:r>
        <w:instrText xml:space="preserve"> SEQ Table \* ARABIC </w:instrText>
      </w:r>
      <w:r>
        <w:fldChar w:fldCharType="separate"/>
      </w:r>
      <w:r w:rsidR="00CD04FC">
        <w:t>1</w:t>
      </w:r>
      <w:r>
        <w:fldChar w:fldCharType="end"/>
      </w:r>
      <w:r w:rsidR="004667C2">
        <w:t>. Summary of tem</w:t>
      </w:r>
      <w:r w:rsidR="00EA6CA0">
        <w:t>p</w:t>
      </w:r>
      <w:r w:rsidR="004667C2">
        <w:t xml:space="preserve">oral </w:t>
      </w:r>
      <w:r w:rsidR="00FC0912">
        <w:t xml:space="preserve">tissue </w:t>
      </w:r>
      <w:r w:rsidR="004667C2">
        <w:t>changes in VFs after injury</w:t>
      </w:r>
      <w:bookmarkEnd w:id="32"/>
    </w:p>
    <w:p w14:paraId="6C3017A1" w14:textId="4756EEF4" w:rsidR="0035281C" w:rsidRDefault="00845E2F" w:rsidP="00845E2F">
      <w:pPr>
        <w:pBdr>
          <w:top w:val="nil"/>
          <w:left w:val="nil"/>
          <w:bottom w:val="nil"/>
          <w:right w:val="nil"/>
          <w:between w:val="nil"/>
        </w:pBdr>
        <w:ind w:right="-15" w:firstLine="0"/>
        <w:rPr>
          <w:color w:val="000000"/>
        </w:rPr>
      </w:pPr>
      <w:r>
        <w:rPr>
          <w:noProof/>
          <w:color w:val="000000"/>
        </w:rPr>
        <w:drawing>
          <wp:inline distT="0" distB="0" distL="0" distR="0" wp14:anchorId="45F8996E" wp14:editId="7AFDC030">
            <wp:extent cx="5860473" cy="5671710"/>
            <wp:effectExtent l="0" t="0" r="6985"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85933" cy="5696350"/>
                    </a:xfrm>
                    <a:prstGeom prst="rect">
                      <a:avLst/>
                    </a:prstGeom>
                    <a:noFill/>
                    <a:ln>
                      <a:noFill/>
                    </a:ln>
                  </pic:spPr>
                </pic:pic>
              </a:graphicData>
            </a:graphic>
          </wp:inline>
        </w:drawing>
      </w:r>
    </w:p>
    <w:p w14:paraId="2BD64FF6" w14:textId="77777777" w:rsidR="00B76A8F" w:rsidRPr="00B76A8F" w:rsidRDefault="00B76A8F" w:rsidP="00B76A8F"/>
    <w:p w14:paraId="7D50DC0A" w14:textId="2604AB9E" w:rsidR="008B17E9" w:rsidRDefault="0080324B" w:rsidP="008B17E9">
      <w:pPr>
        <w:pStyle w:val="Heading2"/>
      </w:pPr>
      <w:bookmarkStart w:id="33" w:name="_Toc88218516"/>
      <w:r>
        <w:t>Glucocorticoids</w:t>
      </w:r>
      <w:bookmarkEnd w:id="33"/>
      <w:r>
        <w:t xml:space="preserve"> </w:t>
      </w:r>
    </w:p>
    <w:p w14:paraId="40B0AD7A" w14:textId="7F8EC07A" w:rsidR="0008359C" w:rsidRPr="002A186F" w:rsidRDefault="0008359C" w:rsidP="0008359C">
      <w:pPr>
        <w:pBdr>
          <w:top w:val="nil"/>
          <w:left w:val="nil"/>
          <w:bottom w:val="nil"/>
          <w:right w:val="nil"/>
          <w:between w:val="nil"/>
        </w:pBdr>
        <w:ind w:right="-15"/>
      </w:pPr>
      <w:r>
        <w:rPr>
          <w:color w:val="000000"/>
        </w:rPr>
        <w:t xml:space="preserve">Glucocorticoids are frequently </w:t>
      </w:r>
      <w:r w:rsidRPr="000D12C7">
        <w:rPr>
          <w:color w:val="000000"/>
        </w:rPr>
        <w:t xml:space="preserve">prescribed </w:t>
      </w:r>
      <w:r>
        <w:rPr>
          <w:color w:val="000000"/>
        </w:rPr>
        <w:t xml:space="preserve">off-label for the </w:t>
      </w:r>
      <w:r w:rsidRPr="000D12C7">
        <w:rPr>
          <w:color w:val="000000"/>
        </w:rPr>
        <w:t>direct treat</w:t>
      </w:r>
      <w:r>
        <w:rPr>
          <w:color w:val="000000"/>
        </w:rPr>
        <w:t>ment of</w:t>
      </w:r>
      <w:r w:rsidRPr="000D12C7">
        <w:rPr>
          <w:color w:val="000000"/>
        </w:rPr>
        <w:t xml:space="preserve"> </w:t>
      </w:r>
      <w:r w:rsidR="006F6BC3">
        <w:rPr>
          <w:color w:val="000000"/>
        </w:rPr>
        <w:t>VF</w:t>
      </w:r>
      <w:r w:rsidRPr="000D12C7">
        <w:rPr>
          <w:color w:val="000000"/>
        </w:rPr>
        <w:t xml:space="preserve"> inflammation</w:t>
      </w:r>
      <w:r>
        <w:rPr>
          <w:color w:val="000000"/>
        </w:rPr>
        <w:t xml:space="preserve"> and scar</w:t>
      </w:r>
      <w:r w:rsidR="00EA0A7E">
        <w:rPr>
          <w:color w:val="000000"/>
        </w:rPr>
        <w:t xml:space="preserve"> </w:t>
      </w:r>
      <w:r>
        <w:rPr>
          <w:color w:val="000000"/>
        </w:rPr>
        <w:t>due to their known anti-inflammatory properties in other indications.</w:t>
      </w:r>
      <w:r w:rsidRPr="002A186F">
        <w:t xml:space="preserve"> Glucocorticoids have been administered </w:t>
      </w:r>
      <w:r>
        <w:t>via</w:t>
      </w:r>
      <w:r w:rsidRPr="002A186F">
        <w:t xml:space="preserve"> various </w:t>
      </w:r>
      <w:r>
        <w:t xml:space="preserve">clinical </w:t>
      </w:r>
      <w:r w:rsidRPr="002A186F">
        <w:t>approaches including</w:t>
      </w:r>
      <w:r>
        <w:t xml:space="preserve"> inhalation,</w:t>
      </w:r>
      <w:r w:rsidRPr="002A186F">
        <w:t xml:space="preserve"> intramuscular</w:t>
      </w:r>
      <w:r>
        <w:t xml:space="preserve"> injections, and</w:t>
      </w:r>
      <w:r w:rsidRPr="002A186F">
        <w:t xml:space="preserve"> intracordal</w:t>
      </w:r>
      <w:r>
        <w:t xml:space="preserve"> injections </w:t>
      </w:r>
      <w:r w:rsidRPr="002A186F">
        <w:t>to treat a variety of pathologies affecting the larynx. Intramuscular injections have been used effectively to treat laryngotracheobronchitis</w:t>
      </w:r>
      <w:r>
        <w:t>.</w:t>
      </w:r>
      <w:r w:rsidRPr="002A186F">
        <w:fldChar w:fldCharType="begin" w:fldLock="1"/>
      </w:r>
      <w:r w:rsidR="00DA7707">
        <w:instrText xml:space="preserve"> ADDIN ZOTERO_ITEM CSL_CITATION {"citationID":"l63K2wms","properties":{"formattedCitation":"\\super 104,105\\nosupersub{}","plainCitation":"104,105","noteIndex":0},"citationItems":[{"id":"cN3eXgV6/iUkZycrs","uris":["http://www.mendeley.com/documents/?uuid=fc8244b0-805d-3da6-b688-a0d528d0059a"],"uri":["http://www.mendeley.com/documents/?uuid=fc8244b0-805d-3da6-b688-a0d528d0059a"],"itemData":{"DOI":"10.1016/J.IJPORL.2003.11.017","ISSN":"0165-5876","abstract":"Objective: Croup or acute laryngotracheobronchitis is the most common cause of the upper airway obstruction. Cool mist, nebulized racemic epinephrine and steroids are commonly used for therapy. Although steroid treatment can be applied orally, in nebulized form, or parenterally, no study has compared these three regimens yet. In this study, the efficacy of nebulized budesonide, and oral and intramuscular dexamethasone are compared for treatment of croup. Study design: Sixty children aged 6–36 months were randomly allocated into four groups. The first three study groups (15 children in each) took nebulized budesonide, oral dexamethasone and intramuscular dexamethasone, respectively, in addition to salbutamol and other supportive measures and these were compared with the placebo group. All patients were evaluated with “Westley Croup Score” on admission to pediatric emergency department (0h) and at 24, 48 and 72h. Results: At the end of the study, the croup scores of all steroid treatment groups were significantly lower than the placebo group, but there was no statistical difference among them. Conclusions: Nebulized budesonide, oral and parenteral dexamethasone have the same effectiveness for treatment of croup and the choice depends on conditions of the patient and the physician.","author":[{"dropping-particle":"","family":"Çetinkaya","given":"Feyzullah","non-dropping-particle":"","parse-names":false,"suffix":""},{"dropping-particle":"","family":"Tüfekçi","given":"Bilge Sertel","non-dropping-particle":"","parse-names":false,"suffix":""},{"dropping-particle":"","family":"Kutluk","given":"Günsel","non-dropping-particle":"","parse-names":false,"suffix":""}],"container-title":"International Journal of Pediatric Otorhinolaryngology","id":"ITEM-1","issue":"4","issued":{"date-parts":[["2004","4","1"]]},"page":"453-456","publisher":"Elsevier","title":"A comparison of nebulized budesonide, and intramuscular, and oral dexamethasone for treatment of croup","type":"article-journal","volume":"68"}},{"id":"cN3eXgV6/PgleHPDN","uris":["http://www.mendeley.com/documents/?uuid=cdaa3cdd-17bd-359d-8f8c-13151ebc0211"],"uri":["http://www.mendeley.com/documents/?uuid=cdaa3cdd-17bd-359d-8f8c-13151ebc0211"],"itemData":{"ISSN":"0031-4005","PMID":"7630673","abstract":"OBJECTIVE Recent studies have demonstrated that a single intramuscular injection of dexamethasone (0.6 mg/kg) shortens the duration and severity of illness in hospitalized patients with acute viral laryngotracheitis (croup). Our objective was to determine if dexamethasone has a role in the outpatient management of patients with acute viral croup of moderate severity. METHODS Patients, 6 months to 5 years of age, who came to the emergency department (ED) with acute viral croup, a croup score of at least 2 (range 0 to 17), and a disposition of discharge were randomized in a double-blind fashion to receive a single intramuscular injection of dexamethasone, 0.6 mg/kg, or an equal volume of normal saline before discharge from the ED. Patients were excluded if they had any structural abnormalities, had received any steroids in the preceding 24 hours, or if they required beta-agonist therapy, more than one racemic epinephrine treatment, or hospitalization. Patients were followed up by telephone 24 hours and 7 to 10 days after discharge to determine whether additional medical attention was sought for perceived lack of improvement or worsening of symptoms. Secondary outcome included the parents' perception of how the child was doing at 24 hours, based on a 4-point ordinal scale: worse (1), same (2), improved (3), symptoms resolved (4), and the number of days it took for complete recovery. RESULTS Of the 38 patients comprising the study group, 19 received dexamethasone. The median age was 19 months (range 6 to 66 months), and median pretreatment croup score was 3 (range 2 to 5) for both groups. The number of patients requiring racemic epinephrine was similar in both groups. Five patients sought additional medical attention within 48 hours. Four of the five patients had received placebo (21% of the placebo group) and one had received dexamethasone (5% of the steroid group) (not statistically significant). At the 24-hour telephone follow-up, significantly more patients in the dexamethasone group had a score consistent with improvement compared with placebo (84% vs 42%, P = .003). There was no difference in the number of days for symptoms to completely resolve between the two groups. CONCLUSION The use of dexamethasone in the outpatient management of viral croup was associated with a reduction in severity of illness within 24 hours after treatment. Patients with viral croup of moderate severity should be considered as candidates for the use of dexamethasone before d…","author":[{"dropping-particle":"","family":"Cruz","given":"M N","non-dropping-particle":"","parse-names":false,"suffix":""},{"dropping-particle":"","family":"Stewart","given":"G","non-dropping-particle":"","parse-names":false,"suffix":""},{"dropping-particle":"","family":"Rosenberg","given":"N","non-dropping-particle":"","parse-names":false,"suffix":""}],"container-title":"Pediatrics","id":"ITEM-2","issue":"2 Pt 1","issued":{"date-parts":[["1995","8"]]},"page":"220-3","title":"Use of dexamethasone in the outpatient management of acute laryngotracheitis.","type":"article-journal","volume":"96"}}],"schema":"https://github.com/citation-style-language/schema/raw/master/csl-citation.json"} </w:instrText>
      </w:r>
      <w:r w:rsidRPr="002A186F">
        <w:fldChar w:fldCharType="separate"/>
      </w:r>
      <w:r w:rsidR="00DA7707" w:rsidRPr="00DA7707">
        <w:rPr>
          <w:vertAlign w:val="superscript"/>
        </w:rPr>
        <w:t>104,105</w:t>
      </w:r>
      <w:r w:rsidRPr="002A186F">
        <w:fldChar w:fldCharType="end"/>
      </w:r>
      <w:r w:rsidRPr="002A186F">
        <w:rPr>
          <w:color w:val="FF0000"/>
        </w:rPr>
        <w:t xml:space="preserve"> </w:t>
      </w:r>
      <w:r w:rsidRPr="002A186F">
        <w:t>Intracordal injections</w:t>
      </w:r>
      <w:r>
        <w:t>, which are injections delivered directly to the VF percutaneously, trans</w:t>
      </w:r>
      <w:r w:rsidR="00914D83">
        <w:t>-</w:t>
      </w:r>
      <w:r>
        <w:t>nasally, or orally,</w:t>
      </w:r>
      <w:r w:rsidRPr="002A186F">
        <w:t xml:space="preserve"> are the most commonly used route</w:t>
      </w:r>
      <w:r w:rsidRPr="002A186F">
        <w:fldChar w:fldCharType="begin"/>
      </w:r>
      <w:r w:rsidR="00DA7707">
        <w:instrText xml:space="preserve"> ADDIN ZOTERO_ITEM CSL_CITATION {"citationID":"F0f7cGr7","properties":{"formattedCitation":"\\super 106\\nosupersub{}","plainCitation":"106","noteIndex":0},"citationItems":[{"id":350,"uris":["http://zotero.org/users/6281125/items/MBZ7CV7F"],"uri":["http://zotero.org/users/6281125/items/MBZ7CV7F"],"itemData":{"id":350,"type":"article-journal","abstract":"Objectives/Hypothesis To provide the otolaryngologist an evidence-based sound review of glucocorticoid use for laryngeal pathology. Study Design Review of contemporary peer-reviewed literature as well as review articles. Methods A review of the literature regarding glucocorticoids as a therapeutic intervention for the treatment of benign laryngeal pathology and laryngeal manifestations of systemic disease was performed. Review included both systemic administration as well as local injection. Results Glucocorticoids, administered in the critical care setting for planned extubation, markedly reducing the risk of reintubation and remain a rudimentary pharmacologic adjunct in laryngeal manifestations of common autoimmune and inflammatory disorders. Intralesional injection has reduced the rate of surgical intervention for benign inflammatory primary laryngeal pathology. Conclusions Glucocorticoids are effective in the treatment of a number of laryngeal pathologies, through both systemic and intralesional administration. However, a clear consensus for utilization of glucocorticoids in the treatment of specific laryngeal disorders has yet to be published. Level of Evidence Laryngoscope, 124:1668-1673, 2014 © 2013 The American Laryngological, Rhinological and Otological Society, Inc.","container-title":"Laryngoscope","DOI":"10.1002/lary.24556","ISSN":"15314995","issue":"7","page":"1668–1673","title":"Glucocorticoids in laryngology: A review","volume":"124","author":[{"family":"Rafii","given":"Benjamin"},{"family":"Sridharan","given":"Shaum"},{"family":"Taliercio","given":"Salvatore"},{"family":"Govil","given":"Nandini"},{"family":"Paul","given":"Benjamin"},{"family":"Garabedian","given":"Michael J."},{"family":"Amin","given":"Milan R."},{"family":"Branski","given":"Ryan C."}],"issued":{"date-parts":[["2014"]]}}}],"schema":"https://github.com/citation-style-language/schema/raw/master/csl-citation.json"} </w:instrText>
      </w:r>
      <w:r w:rsidRPr="002A186F">
        <w:fldChar w:fldCharType="separate"/>
      </w:r>
      <w:r w:rsidR="00DA7707" w:rsidRPr="00DA7707">
        <w:rPr>
          <w:vertAlign w:val="superscript"/>
        </w:rPr>
        <w:t>106</w:t>
      </w:r>
      <w:r w:rsidRPr="002A186F">
        <w:fldChar w:fldCharType="end"/>
      </w:r>
      <w:r w:rsidRPr="002A186F">
        <w:t xml:space="preserve"> </w:t>
      </w:r>
      <w:r>
        <w:t>for the treatment of VF</w:t>
      </w:r>
      <w:r w:rsidRPr="002A186F">
        <w:t xml:space="preserve"> granuloma, scar,</w:t>
      </w:r>
      <w:r w:rsidRPr="002A186F">
        <w:fldChar w:fldCharType="begin" w:fldLock="1"/>
      </w:r>
      <w:r w:rsidR="00DA7707">
        <w:instrText xml:space="preserve"> ADDIN ZOTERO_ITEM CSL_CITATION {"citationID":"l7FjVZbI","properties":{"formattedCitation":"\\super 107\\uc0\\u8211{}109\\nosupersub{}","plainCitation":"107–109","noteIndex":0},"citationItems":[{"id":"cN3eXgV6/VfTnAes3","uris":["http://www.mendeley.com/documents/?uuid=74b28d28-f498-4544-bbd4-c7f45818f8d0"],"uri":["http://www.mendeley.com/documents/?uuid=74b28d28-f498-4544-bbd4-c7f45818f8d0"],"itemData":{"DOI":"10.1016/j.jvoice.2013.04.015","ISSN":"18734588","abstract":"Objective/Hypothesis: Glucocorticoids (GCs) are commonly used in the treatment of laryngeal disorders despite the absence of clear guidelines regarding their use. We sought to assess clinical practice patterns regarding GC use for various vocal fold diseases and to ascertain factors underlying the selection of particular GCs for different vocal fold pathology. Study Design: Prospective, survey. Methods: A web-based 20-question survey querying clinical indications for GC use and other factors influencing decision making in GC administration was distributed to 5280 otolaryngologists via e-mail using a commercially available database. Results: The overall response rate for the survey was 4% (212/5280). Of the respondents, 99% reported GCs to be valuable in their practice. Previous experience/results, familiarity, and use in practice (68%, 54%, and 37%, respectively) were the most commonly cited reasons for choosing a particular GC; pharmacokinetic profile and academic literature were infrequently cited reasons. Fifty-four percent of respondents were more likely to prescribe GCs for vocal performers compared with other patients. Additionally, most respondents stated that the potential for side effects only occasionally prevented GC utilization. Conclusions: GC prescription practices vary greatly among otolaryngologists. Drug choice appears to be driven primarily by clinician preference and personal experience rather than by specific pharmacologic or physiologic rationale. These findings likely reflect the current lack of well-constructed studies in the laryngology literature to guide GC selection and administration for benign disorders of the larynx and highlight an important potential area for future studies. © 2014 The Voice Foundation.","author":[{"dropping-particle":"","family":"Govil","given":"Nandini","non-dropping-particle":"","parse-names":false,"suffix":""},{"dropping-particle":"","family":"Rafii","given":"Benjamin Y.","non-dropping-particle":"","parse-names":false,"suffix":""},{"dropping-particle":"","family":"Paul","given":"Benjamin C.","non-dropping-particle":"","parse-names":false,"suffix":""},{"dropping-particle":"","family":"Ruiz","given":"Ryan","non-dropping-particle":"","parse-names":false,"suffix":""},{"dropping-particle":"","family":"Amin","given":"Milan R.","non-dropping-particle":"","parse-names":false,"suffix":""},{"dropping-particle":"","family":"Branski","given":"Ryan C.","non-dropping-particle":"","parse-names":false,"suffix":""}],"container-title":"Journal of Voice","id":"ITEM-1","issued":{"date-parts":[["2014"]]},"title":"Glucocorticoids for vocal fold disease: A survey of otolaryngologists","type":"article-journal"}},{"id":"cN3eXgV6/skI99R6t","uris":["http://www.mendeley.com/documents/?uuid=170f9a73-ea25-4bd5-8e37-018e844e65fe"],"uri":["http://www.mendeley.com/documents/?uuid=170f9a73-ea25-4bd5-8e37-018e844e65fe"],"itemData":{"DOI":"10.1097/MOO.0b013e32833fe112","ISSN":"10689508","abstract":"Vocal fold scar is generally caused by trauma or from iatrogenic causes such as intubation, radiation therapy or phonomicrosurgery. Once a vocal fold scar has occurred it becomes a difficult problem to treat. There are many different tools that otolaryngologists use for vocal fold scar treatment. This study reviews the literature and discusses the usefulness of laryngeal steroid injection for the treatment of vocal fold scar.","author":[{"dropping-particle":"","family":"Mortensen","given":"Melissa","non-dropping-particle":"","parse-names":false,"suffix":""}],"container-title":"Current Opinion in Otolaryngology and Head and Neck Surgery","id":"ITEM-2","issue":"6","issued":{"date-parts":[["2010"]]},"page":"487-491","title":"Laryngeal steroid injection for vocal fold scar","type":"article-journal","volume":"18"}},{"id":"cN3eXgV6/VCVob3DK","uris":["http://www.mendeley.com/documents/?uuid=4acc4c00-ab99-3dbc-8eb9-45125f13dc3d"],"uri":["http://www.mendeley.com/documents/?uuid=4acc4c00-ab99-3dbc-8eb9-45125f13dc3d"],"itemData":{"DOI":"10.3109/00016489.2011.620620","ISSN":"0001-6489","abstract":"Abstract Conclusion: Percutaneous steroid injection (PSI) may be a useful alternative modality for treatment of benign vocal fold lesions. Objectives: When patients refuse general anesthesia or voi...","author":[{"dropping-particle":"","family":"Woo","given":"Joo-Hyun","non-dropping-particle":"","parse-names":false,"suffix":""},{"dropping-particle":"","family":"Kim","given":"Dong-Young","non-dropping-particle":"","parse-names":false,"suffix":""},{"dropping-particle":"","family":"Kim","given":"Jae-Wook","non-dropping-particle":"","parse-names":false,"suffix":""},{"dropping-particle":"","family":"Oh","given":"Eun-A","non-dropping-particle":"","parse-names":false,"suffix":""},{"dropping-particle":"","family":"Lee","given":"Seung-Won","non-dropping-particle":"","parse-names":false,"suffix":""}],"container-title":"Acta Oto-Laryngologica","id":"ITEM-3","issue":"12","issued":{"date-parts":[["2011","12","10"]]},"page":"1326-1332","publisher":"Taylor &amp; Francis","title":"Efficacy of percutaneous vocal fold injections for benign laryngeal lesions: Prospective multicenter study","type":"article-journal","volume":"131"}}],"schema":"https://github.com/citation-style-language/schema/raw/master/csl-citation.json"} </w:instrText>
      </w:r>
      <w:r w:rsidRPr="002A186F">
        <w:fldChar w:fldCharType="separate"/>
      </w:r>
      <w:r w:rsidR="00DA7707" w:rsidRPr="00DA7707">
        <w:rPr>
          <w:vertAlign w:val="superscript"/>
        </w:rPr>
        <w:t>107–109</w:t>
      </w:r>
      <w:r w:rsidRPr="002A186F">
        <w:fldChar w:fldCharType="end"/>
      </w:r>
      <w:r w:rsidRPr="002A186F">
        <w:t xml:space="preserve"> Reinke’s edema,</w:t>
      </w:r>
      <w:r w:rsidRPr="002A186F">
        <w:fldChar w:fldCharType="begin" w:fldLock="1"/>
      </w:r>
      <w:r w:rsidR="00DA7707">
        <w:instrText xml:space="preserve"> ADDIN ZOTERO_ITEM CSL_CITATION {"citationID":"HF6GJQCQ","properties":{"formattedCitation":"\\super 110\\nosupersub{}","plainCitation":"110","noteIndex":0},"citationItems":[{"id":"cN3eXgV6/uZ2CzOlO","uris":["http://www.mendeley.com/documents/?uuid=7a64123d-940a-4f72-b4c2-3e9185e9f8ad"],"uri":["http://www.mendeley.com/documents/?uuid=7a64123d-940a-4f72-b4c2-3e9185e9f8ad"],"itemData":{"DOI":"10.1080/00016480310001321","ISSN":"00016489","abstract":"Objective - Since 1990, we have performed steroid injections into the vocal fold under topical anesthesia using fiberoptic laryngeal surgery (FLS) in an outpatient clinic. The aim of this study was to retrospectively assess the usefulness of this treatment method in 44 patients with mild Reinke's edema. Material and Methods - Using fiberoptic monitoring of the larynx, a curved injection needle was inserted via the oral cavity and triamcinolone acetonide was injected into Reinke's space of the bilateral vocal fold. Results - Remission or improvement was observed in almost all patients in terms of both patients' self-rating of hoarseness and endoscopic vocal fold findings. The maximum phonation time was a mean of 9.0 s before operation and 11.4 s after operation, and this increase was significant (p &lt; 0.01). Voice pitch also improved, from 168 to 181 Hz, in female patients, and this increase was also significant (p &lt; 0.05). Conclusion - Steroid injection is considered to be useful for treating mild Reinke's edema.","author":[{"dropping-particle":"","family":"Tateya","given":"Ichiro","non-dropping-particle":"","parse-names":false,"suffix":""},{"dropping-particle":"","family":"Omori","given":"Koichi","non-dropping-particle":"","parse-names":false,"suffix":""},{"dropping-particle":"","family":"Kojima","given":"Hisayoshi","non-dropping-particle":"","parse-names":false,"suffix":""},{"dropping-particle":"","family":"Hirano","given":"Shigeru","non-dropping-particle":"","parse-names":false,"suffix":""},{"dropping-particle":"","family":"Kaneko","given":"Kenichi","non-dropping-particle":"","parse-names":false,"suffix":""},{"dropping-particle":"","family":"Ito","given":"Juichi","non-dropping-particle":"","parse-names":false,"suffix":""}],"container-title":"Acta Oto-Laryngologica","id":"ITEM-1","issued":{"date-parts":[["2003"]]},"title":"Steroid injection for Reinke's edema using fiberoptic laryngeal surgery","type":"article-journal"}}],"schema":"https://github.com/citation-style-language/schema/raw/master/csl-citation.json"} </w:instrText>
      </w:r>
      <w:r w:rsidRPr="002A186F">
        <w:fldChar w:fldCharType="separate"/>
      </w:r>
      <w:r w:rsidR="00DA7707" w:rsidRPr="00DA7707">
        <w:rPr>
          <w:vertAlign w:val="superscript"/>
        </w:rPr>
        <w:t>110</w:t>
      </w:r>
      <w:r w:rsidRPr="002A186F">
        <w:fldChar w:fldCharType="end"/>
      </w:r>
      <w:r w:rsidRPr="002A186F">
        <w:t xml:space="preserve"> nodules,</w:t>
      </w:r>
      <w:r w:rsidRPr="002A186F">
        <w:fldChar w:fldCharType="begin" w:fldLock="1"/>
      </w:r>
      <w:r w:rsidR="00DA7707">
        <w:instrText xml:space="preserve"> ADDIN ZOTERO_ITEM CSL_CITATION {"citationID":"njDkrFZG","properties":{"formattedCitation":"\\super 109,111\\uc0\\u8211{}113\\nosupersub{}","plainCitation":"109,111–113","noteIndex":0},"citationItems":[{"id":"cN3eXgV6/XddZj4rY","uris":["http://www.mendeley.com/documents/?uuid=bc16a2f5-d026-3907-ac08-827bb0ca0d8b"],"uri":["http://www.mendeley.com/documents/?uuid=bc16a2f5-d026-3907-ac08-827bb0ca0d8b"],"itemData":{"DOI":"10.1007/s00405-003-0720-x","ISSN":"0937-4477","author":[{"dropping-particle":"","family":"Tateya","given":"Ichiro","non-dropping-particle":"","parse-names":false,"suffix":""},{"dropping-particle":"","family":"Omori","given":"Koichi","non-dropping-particle":"","parse-names":false,"suffix":""},{"dropping-particle":"","family":"Kojima","given":"Hisayoshi","non-dropping-particle":"","parse-names":false,"suffix":""},{"dropping-particle":"","family":"Hirano","given":"Shigeru","non-dropping-particle":"","parse-names":false,"suffix":""},{"dropping-particle":"","family":"Kaneko","given":"Ken-ichi","non-dropping-particle":"","parse-names":false,"suffix":""},{"dropping-particle":"","family":"Ito","given":"Juichi","non-dropping-particle":"","parse-names":false,"suffix":""}],"container-title":"European Archives of Oto-Rhino-Laryngology","id":"ITEM-1","issue":"9","issued":{"date-parts":[["2004","10","17"]]},"page":"489-492","publisher":"Springer-Verlag","title":"Steroid injection to vocal nodules using fiberoptic laryngeal surgery under topical anesthesia","type":"article-journal","volume":"261"}},{"id":"cN3eXgV6/eCAebaMB","uris":["http://www.mendeley.com/documents/?uuid=73c9dc70-e792-4068-862f-c21d94d4f2d1"],"uri":["http://www.mendeley.com/documents/?uuid=73c9dc70-e792-4068-862f-c21d94d4f2d1"],"itemData":{"DOI":"10.1097/01.mlg.0000231455.19183.8c","ISSN":"0023852X","abstract":"OBJECTIVE: Steroid injection into the larynx has been sporadically reported as helpful in benign lesions of the larynx. Its role in laryngology remains unclear. This study reviews the indications and results of 47 steroid injections in 34 patients in an office setting. METHODS: The authors conducted a retrospective review of 47 injections in 34 patients. Methylprednisolone acetate suspension, USP (40 mg/mL), was injected by indirect laryngoscopy under local anesthesia. Results were evaluated by stroboscopy and by perceptual evaluation of the GRABS scale before and after injection. Pre- versus postinjection ratings were compared by paired t test. RESULTS: Indications for injection were: 1) postoperative scar with local stiffness (12 patients), 2) vocal nodules and polyp (18 patients), and 3) sarcoidosis/granuloma (4 patients). Steroid injections were done in professional singers instead of repeated oral administration of steroids and/or to avoid surgery in patients with polyps and cysts. Improvement was noted in 28 of 34 (82%). Eleven of the 18 patients with polyps and nodules had significant improvement and avoided surgery. Vocal fold scars improved after injection with an improved voice grade (P &lt; .01), an improved amplitude (P &lt; .05), and improved mucosal wave (P &lt; .05). There were no complications. Only two patients could not tolerate office injection. CONCLUSION: Office steroid injections are a valuable adjunct in management of vocal fold scars, polyps, nodules, and granulomas. © 2006 The American Laryngological, Rhinological and Otological Society, Inc.","author":[{"dropping-particle":"","family":"Mortensen","given":"Melissa","non-dropping-particle":"","parse-names":false,"suffix":""},{"dropping-particle":"","family":"Woo","given":"Peak","non-dropping-particle":"","parse-names":false,"suffix":""}],"container-title":"Laryngoscope","id":"ITEM-2","issued":{"date-parts":[["2006"]]},"title":"Office steroid injections of the larynx","type":"article"}},{"id":"cN3eXgV6/AW7diLr7","uris":["http://www.mendeley.com/documents/?uuid=4db6e3bc-ad65-4910-b3b4-8afe0c2e705b"],"uri":["http://www.mendeley.com/documents/?uuid=4db6e3bc-ad65-4910-b3b4-8afe0c2e705b"],"itemData":{"DOI":"10.1001/archoto.2011.168","ISSN":"08864470","abstract":"Objective: To analyze the usefulness and safety of a steroid injection into vocal nodules via the cricothyroid membrane. Local administration of steroid directly into the larynx has been reported in many laryngeal diseases with different methods. Design: Prospective case series at an academic tertiary care hospital. Patients: Eighty patients with vocal nodules were enrolled between December 2008 and May 2010. Interventions: Triamcinolone acetonide was injected through the cricothyroid membrane with a transnasal flexible laryngoscope to patients in a sitting position. Main Outcome Measures: Vocal nodules were evaluated before and 2 and 4weeks after the injection; improvement was assessed both objectively and subjectively.Results: The nodules disappeared in 35 patients by the fourth week after the injection (44%), and 39 patients showed improvement (49%). Jitter, shimmer, maximum phonation time, and mean voice handicap index also improved significantly after the steroid injection (P</w:instrText>
      </w:r>
      <w:r w:rsidR="00DA7707">
        <w:rPr>
          <w:rFonts w:ascii="Cambria Math" w:hAnsi="Cambria Math" w:cs="Cambria Math"/>
        </w:rPr>
        <w:instrText>≲</w:instrText>
      </w:r>
      <w:r w:rsidR="00DA7707">
        <w:instrText>λτ</w:instrText>
      </w:r>
      <w:r w:rsidR="00DA7707">
        <w:rPr>
          <w:rFonts w:ascii="Cambria Math" w:hAnsi="Cambria Math" w:cs="Cambria Math"/>
        </w:rPr>
        <w:instrText>∀</w:instrText>
      </w:r>
      <w:r w:rsidR="00DA7707">
        <w:instrText xml:space="preserve">.05 for all). Six patients with voice-related occupations showed improvement at the second week (8%), but the nodules had recurred after 4 weeks. Four patients experienced mild vocal fold atrophy, and 2 patients showed a white plaque formation on the vocal fold that resolved spontaneously 1 to 2 months after the injection. Conclusions: A local steroid injection via the cricothyroid membrane is a useful and safe treatment option for vocal nodules. However, vocal nodules are caused mainly by excessive voice use; therefore, nodules can recur unless the voice use pattern changes. Further study of this treatment technique, including long-term follow-up, is needed. ©2011 American Medical Association. All rights reserved.","author":[{"dropping-particle":"","family":"Lee","given":"Sang Hyuk","non-dropping-particle":"","parse-names":false,"suffix":""},{"dropping-particle":"","family":"Yeo","given":"Jang Ok","non-dropping-particle":"","parse-names":false,"suffix":""},{"dropping-particle":"","family":"Choi","given":"Jeong Im","non-dropping-particle":"","parse-names":false,"suffix":""},{"dropping-particle":"","family":"Jin","given":"Hee","non-dropping-particle":"","parse-names":false,"suffix":""},{"dropping-particle":"","family":"Kim","given":"Jin Pyeong","non-dropping-particle":"","parse-names":false,"suffix":""},{"dropping-particle":"","family":"Woo","given":"Seung Hoon","non-dropping-particle":"","parse-names":false,"suffix":""},{"dropping-particle":"","family":"Jin","given":"Sung Min","non-dropping-particle":"","parse-names":false,"suffix":""}],"container-title":"Archives of Otolaryngology - Head and Neck Surgery","id":"ITEM-3","issued":{"date-parts":[["2011"]]},"title":"Local steroid injection via the cricothyroid membrane in patients with a vocal nodule","type":"article-journal"}},{"id":"cN3eXgV6/VCVob3DK","uris":["http://www.mendeley.com/documents/?uuid=4acc4c00-ab99-3dbc-8eb9-45125f13dc3d"],"uri":["http://www.mendeley.com/documents/?uuid=4acc4c00-ab99-3dbc-8eb9-45125f13dc3d"],"itemData":{"DOI":"10.3109/00016489.2011.620620","ISSN":"0001-6489","abstract":"Abstract Conclusion: Percutaneous steroid injection (PSI) may be a useful alternative modality for treatment of benign vocal fold lesions. Objectives: When patients refuse general anesthesia or voi...","author":[{"dropping-particle":"","family":"Woo","given":"Joo-Hyun","non-dropping-particle":"","parse-names":false,"suffix":""},{"dropping-particle":"","family":"Kim","given":"Dong-Young","non-dropping-particle":"","parse-names":false,"suffix":""},{"dropping-particle":"","family":"Kim","given":"Jae-Wook","non-dropping-particle":"","parse-names":false,"suffix":""},{"dropping-particle":"","family":"Oh","given":"Eun-A","non-dropping-particle":"","parse-names":false,"suffix":""},{"dropping-particle":"","family":"Lee","given":"Seung-Won","non-dropping-particle":"","parse-names":false,"suffix":""}],"container-title":"Acta Oto-Laryngologica","id":"ITEM-4","issue":"12","issued":{"date-parts":[["2011","12","10"]]},"page":"1326-1332","publisher":"Taylor &amp; Francis","title":"Efficacy of percutaneous vocal fold injections for benign laryngeal lesions: Prospective multicenter study","type":"article-journal","volume":"131"}}],"schema":"https://github.com/citation-style-language/schema/raw/master/csl-citation.json"} </w:instrText>
      </w:r>
      <w:r w:rsidRPr="002A186F">
        <w:fldChar w:fldCharType="separate"/>
      </w:r>
      <w:r w:rsidR="00DA7707" w:rsidRPr="00DA7707">
        <w:rPr>
          <w:vertAlign w:val="superscript"/>
        </w:rPr>
        <w:t>109,111–113</w:t>
      </w:r>
      <w:r w:rsidRPr="002A186F">
        <w:fldChar w:fldCharType="end"/>
      </w:r>
      <w:r w:rsidRPr="002A186F">
        <w:t xml:space="preserve"> and polyps.</w:t>
      </w:r>
      <w:r w:rsidRPr="002A186F">
        <w:fldChar w:fldCharType="begin" w:fldLock="1"/>
      </w:r>
      <w:r w:rsidR="00DA7707">
        <w:instrText xml:space="preserve"> ADDIN ZOTERO_ITEM CSL_CITATION {"citationID":"2irlmHXy","properties":{"formattedCitation":"\\super 109,112\\nosupersub{}","plainCitation":"109,112","noteIndex":0},"citationItems":[{"id":"cN3eXgV6/eCAebaMB","uris":["http://www.mendeley.com/documents/?uuid=73c9dc70-e792-4068-862f-c21d94d4f2d1"],"uri":["http://www.mendeley.com/documents/?uuid=73c9dc70-e792-4068-862f-c21d94d4f2d1"],"itemData":{"DOI":"10.1097/01.mlg.0000231455.19183.8c","ISSN":"0023852X","abstract":"OBJECTIVE: Steroid injection into the larynx has been sporadically reported as helpful in benign lesions of the larynx. Its role in laryngology remains unclear. This study reviews the indications and results of 47 steroid injections in 34 patients in an office setting. METHODS: The authors conducted a retrospective review of 47 injections in 34 patients. Methylprednisolone acetate suspension, USP (40 mg/mL), was injected by indirect laryngoscopy under local anesthesia. Results were evaluated by stroboscopy and by perceptual evaluation of the GRABS scale before and after injection. Pre- versus postinjection ratings were compared by paired t test. RESULTS: Indications for injection were: 1) postoperative scar with local stiffness (12 patients), 2) vocal nodules and polyp (18 patients), and 3) sarcoidosis/granuloma (4 patients). Steroid injections were done in professional singers instead of repeated oral administration of steroids and/or to avoid surgery in patients with polyps and cysts. Improvement was noted in 28 of 34 (82%). Eleven of the 18 patients with polyps and nodules had significant improvement and avoided surgery. Vocal fold scars improved after injection with an improved voice grade (P &lt; .01), an improved amplitude (P &lt; .05), and improved mucosal wave (P &lt; .05). There were no complications. Only two patients could not tolerate office injection. CONCLUSION: Office steroid injections are a valuable adjunct in management of vocal fold scars, polyps, nodules, and granulomas. © 2006 The American Laryngological, Rhinological and Otological Society, Inc.","author":[{"dropping-particle":"","family":"Mortensen","given":"Melissa","non-dropping-particle":"","parse-names":false,"suffix":""},{"dropping-particle":"","family":"Woo","given":"Peak","non-dropping-particle":"","parse-names":false,"suffix":""}],"container-title":"Laryngoscope","id":"ITEM-1","issued":{"date-parts":[["2006"]]},"title":"Office steroid injections of the larynx","type":"article"}},{"id":"cN3eXgV6/VCVob3DK","uris":["http://www.mendeley.com/documents/?uuid=4acc4c00-ab99-3dbc-8eb9-45125f13dc3d"],"uri":["http://www.mendeley.com/documents/?uuid=4acc4c00-ab99-3dbc-8eb9-45125f13dc3d"],"itemData":{"DOI":"10.3109/00016489.2011.620620","ISSN":"0001-6489","abstract":"Abstract Conclusion: Percutaneous steroid injection (PSI) may be a useful alternative modality for treatment of benign vocal fold lesions. Objectives: When patients refuse general anesthesia or voi...","author":[{"dropping-particle":"","family":"Woo","given":"Joo-Hyun","non-dropping-particle":"","parse-names":false,"suffix":""},{"dropping-particle":"","family":"Kim","given":"Dong-Young","non-dropping-particle":"","parse-names":false,"suffix":""},{"dropping-particle":"","family":"Kim","given":"Jae-Wook","non-dropping-particle":"","parse-names":false,"suffix":""},{"dropping-particle":"","family":"Oh","given":"Eun-A","non-dropping-particle":"","parse-names":false,"suffix":""},{"dropping-particle":"","family":"Lee","given":"Seung-Won","non-dropping-particle":"","parse-names":false,"suffix":""}],"container-title":"Acta Oto-Laryngologica","id":"ITEM-2","issue":"12","issued":{"date-parts":[["2011","12","10"]]},"page":"1326-1332","publisher":"Taylor &amp; Francis","title":"Efficacy of percutaneous vocal fold injections for benign laryngeal lesions: Prospective multicenter study","type":"article-journal","volume":"131"}}],"schema":"https://github.com/citation-style-language/schema/raw/master/csl-citation.json"} </w:instrText>
      </w:r>
      <w:r w:rsidRPr="002A186F">
        <w:fldChar w:fldCharType="separate"/>
      </w:r>
      <w:r w:rsidR="00DA7707" w:rsidRPr="00DA7707">
        <w:rPr>
          <w:vertAlign w:val="superscript"/>
        </w:rPr>
        <w:t>109,112</w:t>
      </w:r>
      <w:r w:rsidRPr="002A186F">
        <w:fldChar w:fldCharType="end"/>
      </w:r>
      <w:r w:rsidRPr="002A186F">
        <w:rPr>
          <w:lang w:val="fr-FR"/>
        </w:rPr>
        <w:t xml:space="preserve"> </w:t>
      </w:r>
    </w:p>
    <w:p w14:paraId="7EF78512" w14:textId="2982B6B9" w:rsidR="006B4B29" w:rsidRPr="00FC0912" w:rsidRDefault="0008359C" w:rsidP="00FC0912">
      <w:pPr>
        <w:rPr>
          <w:color w:val="000000"/>
        </w:rPr>
      </w:pPr>
      <w:r>
        <w:rPr>
          <w:color w:val="000000"/>
        </w:rPr>
        <w:t xml:space="preserve"> </w:t>
      </w:r>
      <w:r w:rsidRPr="000D12C7">
        <w:rPr>
          <w:color w:val="000000"/>
        </w:rPr>
        <w:t xml:space="preserve">The principal effect of GCs is to </w:t>
      </w:r>
      <w:r>
        <w:rPr>
          <w:color w:val="000000"/>
        </w:rPr>
        <w:t>reduce expression of</w:t>
      </w:r>
      <w:r w:rsidRPr="000D12C7">
        <w:rPr>
          <w:color w:val="000000"/>
        </w:rPr>
        <w:t xml:space="preserve"> multiple inflammatory </w:t>
      </w:r>
      <w:r>
        <w:rPr>
          <w:color w:val="000000"/>
        </w:rPr>
        <w:t>cytokines</w:t>
      </w:r>
      <w:r w:rsidRPr="000D12C7">
        <w:rPr>
          <w:color w:val="000000"/>
        </w:rPr>
        <w:t xml:space="preserve"> that </w:t>
      </w:r>
      <w:r>
        <w:rPr>
          <w:color w:val="000000"/>
        </w:rPr>
        <w:t>are</w:t>
      </w:r>
      <w:r w:rsidRPr="000D12C7">
        <w:rPr>
          <w:color w:val="000000"/>
        </w:rPr>
        <w:t xml:space="preserve"> stimulated during the inflammation process</w:t>
      </w:r>
      <w:r>
        <w:rPr>
          <w:color w:val="000000"/>
        </w:rPr>
        <w:t>,</w:t>
      </w:r>
      <w:r w:rsidRPr="000D12C7">
        <w:rPr>
          <w:color w:val="000000"/>
        </w:rPr>
        <w:t xml:space="preserve"> including </w:t>
      </w:r>
      <w:r w:rsidRPr="000D12C7">
        <w:t>TNF-α,</w:t>
      </w:r>
      <w:r w:rsidRPr="000D12C7">
        <w:fldChar w:fldCharType="begin" w:fldLock="1"/>
      </w:r>
      <w:r w:rsidR="00DA7707">
        <w:instrText xml:space="preserve"> ADDIN ZOTERO_ITEM CSL_CITATION {"citationID":"qjAd2Ffw","properties":{"formattedCitation":"\\super 76,114\\uc0\\u8211{}116\\nosupersub{}","plainCitation":"76,114–116","noteIndex":0},"citationItems":[{"id":"cN3eXgV6/txuYL6TN","uris":["http://www.mendeley.com/documents/?uuid=7fe92c73-466d-4c73-981c-2508dd2d3a44"],"uri":["http://www.mendeley.com/documents/?uuid=7fe92c73-466d-4c73-981c-2508dd2d3a44"],"itemData":{"author":[{"dropping-particle":"Van Der","family":"Velden","given":"V H J","non-dropping-particle":"","parse-names":false,"suffix":""}],"id":"ITEM-1","issued":{"date-parts":[["1998"]]},"page":"229-237","title":"Glucocorticoids : mechanisms of action and anti-inflammatory","type":"article-journal","volume":"237"}},{"id":"cN3eXgV6/uTdAR46g","uris":["http://www.mendeley.com/documents/?uuid=107bc087-9bef-4cde-9b18-da41396adb68"],"uri":["http://www.mendeley.com/documents/?uuid=107bc087-9bef-4cde-9b18-da41396adb68"],"itemData":{"DOI":"10.7326/0003-4819-139-5_part_1-200309020-00012","ISSN":"00034819","abstract":"Recent discoveries about gene transcription have advanced our understanding of the molecular mechanisms of corticosteroid suppression of inflammation.","author":[{"dropping-particle":"","family":"Barnes","given":"Peter J.","non-dropping-particle":"","parse-names":false,"suffix":""},{"dropping-particle":"","family":"Adcock","given":"Ian M.","non-dropping-particle":"","parse-names":false,"suffix":""}],"container-title":"Annals of Internal Medicine","id":"ITEM-2","issued":{"date-parts":[["2003"]]},"title":"How Do Corticosteroids Work in Asthma?","type":"article"}},{"id":"cN3eXgV6/qI57Ueel","uris":["http://www.mendeley.com/documents/?uuid=44356331-ac14-40bf-b933-8d0f40882fa0"],"uri":["http://www.mendeley.com/documents/?uuid=44356331-ac14-40bf-b933-8d0f40882fa0"],"itemData":{"DOI":"10.1177/147323000903700531","ISSN":"03000605","PMID":"19930861","abstract":"Wound healing remains a challenging clinical problem and correct, efficient wound management is essential. Much effort has been focused on wound care with an emphasis on new therapeutic approaches and the development of technologies for acute and chronic wound management. Wound healing involves multiple cell populations, the extracellular matrix and the action of soluble mediators such as growth factors and cytokines. Although the process of healing is continuous, it may be arbitrarily divided into four phases: (i) coagulation and haemostasis; (ii) inflammation; (iii) proliferation; and (iv) wound remodelling with scar tissue formation. The correct approach to wound management may effectively influence the clinical outcome. This review discusses wound classification, the physiology of the wound healing process and the methods used in wound management. Copyright © 2009 Field House Publishing LLP.","author":[{"dropping-particle":"","family":"Velnar","given":"Tomaz","non-dropping-particle":"","parse-names":false,"suffix":""},{"dropping-particle":"","family":"Bailey","given":"T.","non-dropping-particle":"","parse-names":false,"suffix":""},{"dropping-particle":"","family":"Smrkolj","given":"V.","non-dropping-particle":"","parse-names":false,"suffix":""}],"container-title":"Journal of International Medical Research","id":"ITEM-3","issued":{"date-parts":[["2009"]]},"title":"The wound healing process: An overview of the cellular and molecular mechanisms","type":"article"}},{"id":"cN3eXgV6/AvrFOzLU","uris":["http://www.mendeley.com/documents/?uuid=b2df2279-be71-47ee-abf3-795da7aa75ee"],"uri":["http://www.mendeley.com/documents/?uuid=b2df2279-be71-47ee-abf3-795da7aa75ee"],"itemData":{"DOI":"10.1007/s00405-010-1330-z","ISSN":"09374477","abstract":"Intra-nasal glucocorticoids are the most effective drugs available for rhinosinusitis and nasal polyposis treatment. Their effectiveness depends on many factors and not all of them have been well recognized so far. The authors present the basic information on molecular mechanisms of glucocorticoid action, direct and indirect effects of glucocorticoids on transcription of genes encoding inflammatory mediators. They focus on recently proved nongenomic mechanisms which appear quickly, from several seconds to minutes after glucocorticoid administration and discuss clinical implications resulting from this knowledge. Discovery of nongenomic glucocorticoid actions allows for better use of these drugs in clinical practice. © The Author(s) 2010.","author":[{"dropping-particle":"","family":"Grzanka","given":"Alicja","non-dropping-particle":"","parse-names":false,"suffix":""},{"dropping-particle":"","family":"Misiołek","given":"MacIej","non-dropping-particle":"","parse-names":false,"suffix":""},{"dropping-particle":"","family":"Golusiński","given":"Wojciech","non-dropping-particle":"","parse-names":false,"suffix":""},{"dropping-particle":"","family":"Jarza̧b","given":"Jerzy","non-dropping-particle":"","parse-names":false,"suffix":""}],"container-title":"European Archives of Oto-Rhino-Laryngology","id":"ITEM-4","issued":{"date-parts":[["2011"]]},"title":"Molecular mechanisms of glucocorticoids action: Implications for treatment of rhinosinusitis and nasal polyposis","type":"article-journal"}}],"schema":"https://github.com/citation-style-language/schema/raw/master/csl-citation.json"} </w:instrText>
      </w:r>
      <w:r w:rsidRPr="000D12C7">
        <w:fldChar w:fldCharType="separate"/>
      </w:r>
      <w:r w:rsidR="00DA7707" w:rsidRPr="00DA7707">
        <w:rPr>
          <w:vertAlign w:val="superscript"/>
        </w:rPr>
        <w:t>76,114–116</w:t>
      </w:r>
      <w:r w:rsidRPr="000D12C7">
        <w:fldChar w:fldCharType="end"/>
      </w:r>
      <w:r w:rsidRPr="000D12C7">
        <w:t xml:space="preserve"> TGF-β,</w:t>
      </w:r>
      <w:r w:rsidRPr="000D12C7">
        <w:fldChar w:fldCharType="begin" w:fldLock="1"/>
      </w:r>
      <w:r w:rsidR="00DA7707">
        <w:instrText xml:space="preserve"> ADDIN ZOTERO_ITEM CSL_CITATION {"citationID":"iWwVtUnb","properties":{"formattedCitation":"\\super 117\\nosupersub{}","plainCitation":"117","noteIndex":0},"citationItems":[{"id":"cN3eXgV6/gluhEt4I","uris":["http://www.mendeley.com/documents/?uuid=3ff11781-88bd-4165-aa8d-ed51d0eef795"],"uri":["http://www.mendeley.com/documents/?uuid=3ff11781-88bd-4165-aa8d-ed51d0eef795"],"itemData":{"DOI":"10.1001/archsurg.135.11.1265","ISSN":"00040010","abstract":"Hypothesis Anti-inflammatory corticosteroids significantly impair wound healing. Retinoids partially, but significantly, reverse this effect. Little is known about the mechanism of steroid retardation or retinoid reversal. We hypothesized that corticosteroids lower transforming growth factor-β (TGF-β) and insulin-like growth factor-I (IGF-I) levels and tissue deposition in wounds and that retinoids stimulate corticosteroid-impaired TGF-β and IGF-I release and collagen production. Design Randomized controlled trial. Setting Wound healing research laboratory. Participants Animal study. Interventions Four wire mesh wound cylinders were implanted subcutaneously into the backs of 72 male Sprague-Dawley rats. Wound healing was impaired by a single subcutaneous injection of 6 mg of methylprednisolone acetate (Depo-Medrol). Two preparations of retinoids were used in separate experiments: all-trans-retinoic acid and 9-cis-retinoic acid that were fed orally. Main Outcome Measures Hydroxyproline content was measured in the healing tissue and TGF-β and IGF-I levels were analyzed in the wound fluid. Results Methylprednisolone treatment significantly decreased TGF-β and IGF-I levels in the wound fluid and hydroxyproline content in the tissue (P&lt;.05). Oral all-trans- and 9-cis-retinoic acid partially reversed the TGF-β and IGF-I decrease and significantly increased hydroxyproline content toward normal levels (P&lt;.05). Oral all-trans-retinoic acid enhanced collagen deposition, TGF-β and IGF-I levels over normal chow fed control animals (P&lt;.05). Conclusions Steroids and retinoids have antagonistic effects on growth factors and collagen deposition in wound healing. These effects can be relevant for treatment options in a clinical setting.","author":[{"dropping-particle":"","family":"Wicke","given":"C.","non-dropping-particle":"","parse-names":false,"suffix":""},{"dropping-particle":"","family":"SW","given":"Byers","non-dropping-particle":"","parse-names":false,"suffix":""},{"dropping-particle":"","family":"JM","given":"Smith","non-dropping-particle":"","parse-names":false,"suffix":""},{"dropping-particle":"","family":"HI","given":"Scher","non-dropping-particle":"","parse-names":false,"suffix":""},{"dropping-particle":"","family":"LJ","given":"Gudas","non-dropping-particle":"","parse-names":false,"suffix":""},{"dropping-particle":"","family":"WH","given":"Miller","non-dropping-particle":"","parse-names":false,"suffix":""},{"dropping-particle":"","family":"Roberts","given":"Anita B.","non-dropping-particle":"","parse-names":false,"suffix":""},{"dropping-particle":"","family":"Hunt","given":"Thomas K.","non-dropping-particle":"","parse-names":false,"suffix":""}],"container-title":"Archives of Surgery","id":"ITEM-1","issue":"11","issued":{"date-parts":[["2000"]]},"page":"1265-1270","title":"Effects of steroids and retinoids on wound healing","type":"article-journal","volume":"135"}}],"schema":"https://github.com/citation-style-language/schema/raw/master/csl-citation.json"} </w:instrText>
      </w:r>
      <w:r w:rsidRPr="000D12C7">
        <w:fldChar w:fldCharType="separate"/>
      </w:r>
      <w:r w:rsidR="00DA7707" w:rsidRPr="00DA7707">
        <w:rPr>
          <w:vertAlign w:val="superscript"/>
        </w:rPr>
        <w:t>117</w:t>
      </w:r>
      <w:r w:rsidRPr="000D12C7">
        <w:fldChar w:fldCharType="end"/>
      </w:r>
      <w:r w:rsidRPr="000D12C7">
        <w:t xml:space="preserve"> IL</w:t>
      </w:r>
      <w:r>
        <w:t>-</w:t>
      </w:r>
      <w:r w:rsidRPr="000D12C7">
        <w:t>1β,</w:t>
      </w:r>
      <w:r w:rsidRPr="000D12C7">
        <w:fldChar w:fldCharType="begin" w:fldLock="1"/>
      </w:r>
      <w:r w:rsidR="00DA7707">
        <w:instrText xml:space="preserve"> ADDIN ZOTERO_ITEM CSL_CITATION {"citationID":"zqDHokZ3","properties":{"formattedCitation":"\\super 114\\uc0\\u8211{}116,118\\nosupersub{}","plainCitation":"114–116,118","noteIndex":0},"citationItems":[{"id":"cN3eXgV6/txuYL6TN","uris":["http://www.mendeley.com/documents/?uuid=7fe92c73-466d-4c73-981c-2508dd2d3a44"],"uri":["http://www.mendeley.com/documents/?uuid=7fe92c73-466d-4c73-981c-2508dd2d3a44"],"itemData":{"author":[{"dropping-particle":"Van Der","family":"Velden","given":"V H J","non-dropping-particle":"","parse-names":false,"suffix":""}],"id":"ITEM-1","issued":{"date-parts":[["1998"]]},"page":"229-237","title":"Glucocorticoids : mechanisms of action and anti-inflammatory","type":"article-journal","volume":"237"}},{"id":"cN3eXgV6/u4sxM79b","uris":["http://www.mendeley.com/documents/?uuid=c5e6822c-f346-44b5-97ec-42095cf458d0"],"uri":["http://www.mendeley.com/documents/?uuid=c5e6822c-f346-44b5-97ec-42095cf458d0"],"itemData":{"DOI":"10.1002/lary.23691","ISSN":"15314995","abstract":"Objectives/Hypothesis Steroids are used for the treatment of laryngitis in vocal performers and other individuals despite the absence of evidence demonstrating their impact on vocal fold inflammation. Our objective was to examine laryngeal secretion cytokine inflammatory profile changes associated with corticosteroid treatment in a human phonotrauma model. Study Design Prospective, individual, randomized, double-blinded, controlled trial. Methods Participants included 10 healthy females who were randomized to either treatment with oral hydrocortisone or placebo, each given in three doses over 20 hours after the experimental induction of acute phonotrauma. Cytokines associated with inflammation and healing (interleukin [IL]-1β, IL-6, IL-10) were measured in laryngeal secretions before and after vocal loading and at 4 and 20 hours after treatment. Results Proinflammatory mediators IL-1β and IL-6 were doubled in the controls versus the steroid treatment group at 21 hours following induction of acute vocal fold inflammation. Anti-inflammatory cytokine IL-10 showed a 6.3-fold increase in the steroid treatment group versus the controls, indicating anti-inflammatory modulation by steroid treatment. Conclusions This study provides biologic evidence supporting the use of steroids for acute vocal fold inflammation associated with phonotrauma. Level of Evidence 1b. Laryngoscope, 124:921-927, 2014 © 2014 The American Laryngological, Rhinological, and Otological Society, Inc.","author":[{"dropping-particle":"","family":"Ingle","given":"John W.","non-dropping-particle":"","parse-names":false,"suffix":""},{"dropping-particle":"","family":"Helou","given":"Leah B.","non-dropping-particle":"","parse-names":false,"suffix":""},{"dropping-particle":"","family":"Li","given":"Nicole Y.K.","non-dropping-particle":"","parse-names":false,"suffix":""},{"dropping-particle":"","family":"Hebda","given":"Patricia A.","non-dropping-particle":"","parse-names":false,"suffix":""},{"dropping-particle":"","family":"Rosen","given":"Clark A.","non-dropping-particle":"","parse-names":false,"suffix":""},{"dropping-particle":"V.","family":"Abbott","given":"Katherine","non-dropping-particle":"","parse-names":false,"suffix":""}],"container-title":"Laryngoscope","id":"ITEM-2","issued":{"date-parts":[["2014"]]},"title":"Role of steroids in acute phonotrauma: A basic science investigation","type":"article-journal"}},{"id":"cN3eXgV6/uTdAR46g","uris":["http://www.mendeley.com/documents/?uuid=107bc087-9bef-4cde-9b18-da41396adb68"],"uri":["http://www.mendeley.com/documents/?uuid=107bc087-9bef-4cde-9b18-da41396adb68"],"itemData":{"DOI":"10.7326/0003-4819-139-5_part_1-200309020-00012","ISSN":"00034819","abstract":"Recent discoveries about gene transcription have advanced our understanding of the molecular mechanisms of corticosteroid suppression of inflammation.","author":[{"dropping-particle":"","family":"Barnes","given":"Peter J.","non-dropping-particle":"","parse-names":false,"suffix":""},{"dropping-particle":"","family":"Adcock","given":"Ian M.","non-dropping-particle":"","parse-names":false,"suffix":""}],"container-title":"Annals of Internal Medicine","id":"ITEM-3","issued":{"date-parts":[["2003"]]},"title":"How Do Corticosteroids Work in Asthma?","type":"article"}},{"id":"cN3eXgV6/AvrFOzLU","uris":["http://www.mendeley.com/documents/?uuid=b2df2279-be71-47ee-abf3-795da7aa75ee"],"uri":["http://www.mendeley.com/documents/?uuid=b2df2279-be71-47ee-abf3-795da7aa75ee"],"itemData":{"DOI":"10.1007/s00405-010-1330-z","ISSN":"09374477","abstract":"Intra-nasal glucocorticoids are the most effective drugs available for rhinosinusitis and nasal polyposis treatment. Their effectiveness depends on many factors and not all of them have been well recognized so far. The authors present the basic information on molecular mechanisms of glucocorticoid action, direct and indirect effects of glucocorticoids on transcription of genes encoding inflammatory mediators. They focus on recently proved nongenomic mechanisms which appear quickly, from several seconds to minutes after glucocorticoid administration and discuss clinical implications resulting from this knowledge. Discovery of nongenomic glucocorticoid actions allows for better use of these drugs in clinical practice. © The Author(s) 2010.","author":[{"dropping-particle":"","family":"Grzanka","given":"Alicja","non-dropping-particle":"","parse-names":false,"suffix":""},{"dropping-particle":"","family":"Misiołek","given":"MacIej","non-dropping-particle":"","parse-names":false,"suffix":""},{"dropping-particle":"","family":"Golusiński","given":"Wojciech","non-dropping-particle":"","parse-names":false,"suffix":""},{"dropping-particle":"","family":"Jarza̧b","given":"Jerzy","non-dropping-particle":"","parse-names":false,"suffix":""}],"container-title":"European Archives of Oto-Rhino-Laryngology","id":"ITEM-4","issued":{"date-parts":[["2011"]]},"title":"Molecular mechanisms of glucocorticoids action: Implications for treatment of rhinosinusitis and nasal polyposis","type":"article-journal"}}],"schema":"https://github.com/citation-style-language/schema/raw/master/csl-citation.json"} </w:instrText>
      </w:r>
      <w:r w:rsidRPr="000D12C7">
        <w:fldChar w:fldCharType="separate"/>
      </w:r>
      <w:r w:rsidR="00DA7707" w:rsidRPr="00DA7707">
        <w:rPr>
          <w:vertAlign w:val="superscript"/>
        </w:rPr>
        <w:t>114–116,118</w:t>
      </w:r>
      <w:r w:rsidRPr="000D12C7">
        <w:fldChar w:fldCharType="end"/>
      </w:r>
      <w:r w:rsidRPr="000D12C7">
        <w:t xml:space="preserve"> and IL-6.</w:t>
      </w:r>
      <w:r w:rsidRPr="000D12C7">
        <w:fldChar w:fldCharType="begin" w:fldLock="1"/>
      </w:r>
      <w:r w:rsidR="00DA7707">
        <w:instrText xml:space="preserve"> ADDIN ZOTERO_ITEM CSL_CITATION {"citationID":"DKmPvSTE","properties":{"formattedCitation":"\\super 114\\uc0\\u8211{}116,118\\nosupersub{}","plainCitation":"114–116,118","noteIndex":0},"citationItems":[{"id":"cN3eXgV6/txuYL6TN","uris":["http://www.mendeley.com/documents/?uuid=7fe92c73-466d-4c73-981c-2508dd2d3a44"],"uri":["http://www.mendeley.com/documents/?uuid=7fe92c73-466d-4c73-981c-2508dd2d3a44"],"itemData":{"author":[{"dropping-particle":"Van Der","family":"Velden","given":"V H J","non-dropping-particle":"","parse-names":false,"suffix":""}],"id":"ITEM-1","issued":{"date-parts":[["1998"]]},"page":"229-237","title":"Glucocorticoids : mechanisms of action and anti-inflammatory","type":"article-journal","volume":"237"}},{"id":"cN3eXgV6/u4sxM79b","uris":["http://www.mendeley.com/documents/?uuid=c5e6822c-f346-44b5-97ec-42095cf458d0"],"uri":["http://www.mendeley.com/documents/?uuid=c5e6822c-f346-44b5-97ec-42095cf458d0"],"itemData":{"DOI":"10.1002/lary.23691","ISSN":"15314995","abstract":"Objectives/Hypothesis Steroids are used for the treatment of laryngitis in vocal performers and other individuals despite the absence of evidence demonstrating their impact on vocal fold inflammation. Our objective was to examine laryngeal secretion cytokine inflammatory profile changes associated with corticosteroid treatment in a human phonotrauma model. Study Design Prospective, individual, randomized, double-blinded, controlled trial. Methods Participants included 10 healthy females who were randomized to either treatment with oral hydrocortisone or placebo, each given in three doses over 20 hours after the experimental induction of acute phonotrauma. Cytokines associated with inflammation and healing (interleukin [IL]-1β, IL-6, IL-10) were measured in laryngeal secretions before and after vocal loading and at 4 and 20 hours after treatment. Results Proinflammatory mediators IL-1β and IL-6 were doubled in the controls versus the steroid treatment group at 21 hours following induction of acute vocal fold inflammation. Anti-inflammatory cytokine IL-10 showed a 6.3-fold increase in the steroid treatment group versus the controls, indicating anti-inflammatory modulation by steroid treatment. Conclusions This study provides biologic evidence supporting the use of steroids for acute vocal fold inflammation associated with phonotrauma. Level of Evidence 1b. Laryngoscope, 124:921-927, 2014 © 2014 The American Laryngological, Rhinological, and Otological Society, Inc.","author":[{"dropping-particle":"","family":"Ingle","given":"John W.","non-dropping-particle":"","parse-names":false,"suffix":""},{"dropping-particle":"","family":"Helou","given":"Leah B.","non-dropping-particle":"","parse-names":false,"suffix":""},{"dropping-particle":"","family":"Li","given":"Nicole Y.K.","non-dropping-particle":"","parse-names":false,"suffix":""},{"dropping-particle":"","family":"Hebda","given":"Patricia A.","non-dropping-particle":"","parse-names":false,"suffix":""},{"dropping-particle":"","family":"Rosen","given":"Clark A.","non-dropping-particle":"","parse-names":false,"suffix":""},{"dropping-particle":"V.","family":"Abbott","given":"Katherine","non-dropping-particle":"","parse-names":false,"suffix":""}],"container-title":"Laryngoscope","id":"ITEM-2","issued":{"date-parts":[["2014"]]},"title":"Role of steroids in acute phonotrauma: A basic science investigation","type":"article-journal"}},{"id":"cN3eXgV6/uTdAR46g","uris":["http://www.mendeley.com/documents/?uuid=107bc087-9bef-4cde-9b18-da41396adb68"],"uri":["http://www.mendeley.com/documents/?uuid=107bc087-9bef-4cde-9b18-da41396adb68"],"itemData":{"DOI":"10.7326/0003-4819-139-5_part_1-200309020-00012","ISSN":"00034819","abstract":"Recent discoveries about gene transcription have advanced our understanding of the molecular mechanisms of corticosteroid suppression of inflammation.","author":[{"dropping-particle":"","family":"Barnes","given":"Peter J.","non-dropping-particle":"","parse-names":false,"suffix":""},{"dropping-particle":"","family":"Adcock","given":"Ian M.","non-dropping-particle":"","parse-names":false,"suffix":""}],"container-title":"Annals of Internal Medicine","id":"ITEM-3","issued":{"date-parts":[["2003"]]},"title":"How Do Corticosteroids Work in Asthma?","type":"article"}},{"id":"cN3eXgV6/AvrFOzLU","uris":["http://www.mendeley.com/documents/?uuid=b2df2279-be71-47ee-abf3-795da7aa75ee"],"uri":["http://www.mendeley.com/documents/?uuid=b2df2279-be71-47ee-abf3-795da7aa75ee"],"itemData":{"DOI":"10.1007/s00405-010-1330-z","ISSN":"09374477","abstract":"Intra-nasal glucocorticoids are the most effective drugs available for rhinosinusitis and nasal polyposis treatment. Their effectiveness depends on many factors and not all of them have been well recognized so far. The authors present the basic information on molecular mechanisms of glucocorticoid action, direct and indirect effects of glucocorticoids on transcription of genes encoding inflammatory mediators. They focus on recently proved nongenomic mechanisms which appear quickly, from several seconds to minutes after glucocorticoid administration and discuss clinical implications resulting from this knowledge. Discovery of nongenomic glucocorticoid actions allows for better use of these drugs in clinical practice. © The Author(s) 2010.","author":[{"dropping-particle":"","family":"Grzanka","given":"Alicja","non-dropping-particle":"","parse-names":false,"suffix":""},{"dropping-particle":"","family":"Misiołek","given":"MacIej","non-dropping-particle":"","parse-names":false,"suffix":""},{"dropping-particle":"","family":"Golusiński","given":"Wojciech","non-dropping-particle":"","parse-names":false,"suffix":""},{"dropping-particle":"","family":"Jarza̧b","given":"Jerzy","non-dropping-particle":"","parse-names":false,"suffix":""}],"container-title":"European Archives of Oto-Rhino-Laryngology","id":"ITEM-4","issued":{"date-parts":[["2011"]]},"title":"Molecular mechanisms of glucocorticoids action: Implications for treatment of rhinosinusitis and nasal polyposis","type":"article-journal"}}],"schema":"https://github.com/citation-style-language/schema/raw/master/csl-citation.json"} </w:instrText>
      </w:r>
      <w:r w:rsidRPr="000D12C7">
        <w:fldChar w:fldCharType="separate"/>
      </w:r>
      <w:r w:rsidR="00DA7707" w:rsidRPr="00DA7707">
        <w:rPr>
          <w:vertAlign w:val="superscript"/>
        </w:rPr>
        <w:t>114–116,118</w:t>
      </w:r>
      <w:r w:rsidRPr="000D12C7">
        <w:fldChar w:fldCharType="end"/>
      </w:r>
      <w:r w:rsidRPr="000D12C7">
        <w:rPr>
          <w:color w:val="000000"/>
        </w:rPr>
        <w:t xml:space="preserve"> </w:t>
      </w:r>
      <w:r>
        <w:rPr>
          <w:color w:val="000000"/>
        </w:rPr>
        <w:t>Suppression</w:t>
      </w:r>
      <w:r w:rsidRPr="000D12C7">
        <w:rPr>
          <w:color w:val="000000"/>
        </w:rPr>
        <w:t xml:space="preserve"> of these </w:t>
      </w:r>
      <w:r>
        <w:rPr>
          <w:color w:val="000000"/>
        </w:rPr>
        <w:t>proteins</w:t>
      </w:r>
      <w:r w:rsidRPr="000D12C7">
        <w:rPr>
          <w:color w:val="000000"/>
        </w:rPr>
        <w:t xml:space="preserve"> attenuate</w:t>
      </w:r>
      <w:r>
        <w:rPr>
          <w:color w:val="000000"/>
        </w:rPr>
        <w:t>s</w:t>
      </w:r>
      <w:r w:rsidRPr="000D12C7">
        <w:rPr>
          <w:color w:val="000000"/>
        </w:rPr>
        <w:t xml:space="preserve"> </w:t>
      </w:r>
      <w:r w:rsidR="00B825E3">
        <w:rPr>
          <w:color w:val="000000"/>
        </w:rPr>
        <w:t>VF</w:t>
      </w:r>
      <w:r w:rsidRPr="000D12C7">
        <w:rPr>
          <w:color w:val="000000"/>
        </w:rPr>
        <w:t xml:space="preserve"> edema, decreasing </w:t>
      </w:r>
      <w:r>
        <w:rPr>
          <w:color w:val="000000"/>
        </w:rPr>
        <w:t xml:space="preserve">the </w:t>
      </w:r>
      <w:r w:rsidRPr="000D12C7">
        <w:rPr>
          <w:color w:val="000000"/>
        </w:rPr>
        <w:t>effective mass of the tissue</w:t>
      </w:r>
      <w:r>
        <w:rPr>
          <w:color w:val="000000"/>
        </w:rPr>
        <w:t xml:space="preserve"> relative to an inflamed phenotype, allowing for easier</w:t>
      </w:r>
      <w:r w:rsidRPr="000D12C7">
        <w:rPr>
          <w:color w:val="000000"/>
        </w:rPr>
        <w:t xml:space="preserve"> phonation. If given at a high enough dose, GCs may also promote anti-inflammatory </w:t>
      </w:r>
      <w:r>
        <w:rPr>
          <w:color w:val="000000"/>
        </w:rPr>
        <w:t>protein production,</w:t>
      </w:r>
      <w:r w:rsidRPr="000D12C7">
        <w:rPr>
          <w:color w:val="000000"/>
        </w:rPr>
        <w:t xml:space="preserve"> including IL-10,</w:t>
      </w:r>
      <w:r w:rsidRPr="000D12C7">
        <w:rPr>
          <w:color w:val="000000"/>
        </w:rPr>
        <w:fldChar w:fldCharType="begin" w:fldLock="1"/>
      </w:r>
      <w:r w:rsidR="00DA7707">
        <w:rPr>
          <w:color w:val="000000"/>
        </w:rPr>
        <w:instrText xml:space="preserve"> ADDIN ZOTERO_ITEM CSL_CITATION {"citationID":"ptAf4J86","properties":{"formattedCitation":"\\super 119\\nosupersub{}","plainCitation":"119","noteIndex":0},"citationItems":[{"id":"cN3eXgV6/sNW7kS7F","uris":["http://www.mendeley.com/documents/?uuid=8393f2a1-1104-372c-a11b-68ce7289c3d1"],"uri":["http://www.mendeley.com/documents/?uuid=8393f2a1-1104-372c-a11b-68ce7289c3d1"],"itemData":{"DOI":"10.1016/S0165-5728(97)00262-2","ISSN":"0165-5728","abstract":"High doses of glucocorticoids (GCs) are widely employed to treat acute attacks in relapsing–remitting multiple sclerosis (MS) patients. Their beneficial effects are partially due to their capacity to regulate the cytokine network. In the present work, we have examined the effect of GCs on the production of the immunosuppressor cytokine IL-10. Blood samples from MS patients suffering an acute relapse were obtained immediately before initiating therapy and after receiving a daily dose of 1 g intravenous methylprednisolone (MP) for four days. Levels of IL-10 mRNA in PBMC were semiquantified by RT-PCR, whereas protein concentration in serum and in cell culture supernatant was measured by ELISA. Our results show that 7 out of the 9 patients studied displayed increased IL-10 mRNA expression as well as higher serum IL-10 concentration following steroid treatment. In contrast, mRNA expression of two inflammatory cytokines, TNFα and IFNγ, decreased following steroid therapy. In vitro experiments employing normal PBMC showed that methylprednisolone (MP) upregulated IL-10 expression as determined by measuring mRNA levels, flow cytometry of intracytoplasmic protein concentration, and the amount of secreted protein. Peak responses of secreted IL-10 by PBMC cultured cells treated with MP were obtained at 48 h. The effect was steroid-specific as IL-10 expression reversed to baseline levels in the presence of the glucocorticoid receptor antagonist RU486. Contrary to the effect of MP on the spontaneous expression of IL-10, this drug downregulated LPS-induced IL-10 synthesis. In fact, the concentration of IL-10 in LPS-induced IL-10 secretion from normal PBMC decreased upon addition of MP to cell cultures. Thus, it seems that MP exerts an opposite effect on the spontaneous and LPS-induced IL-10 production. Our studies indicate that GCs may control inflammatory responses by upregulating production of the immunosuppressor cytokine IL-10.","author":[{"dropping-particle":"","family":"Gayo","given":"Abel","non-dropping-particle":"","parse-names":false,"suffix":""},{"dropping-particle":"","family":"Mozo","given":"Lourdes","non-dropping-particle":"","parse-names":false,"suffix":""},{"dropping-particle":"","family":"Suárez","given":"Ana","non-dropping-particle":"","parse-names":false,"suffix":""},{"dropping-particle":"","family":"Tuñon","given":"Alberto","non-dropping-particle":"","parse-names":false,"suffix":""},{"dropping-particle":"","family":"Lahoz","given":"Carlos","non-dropping-particle":"","parse-names":false,"suffix":""},{"dropping-particle":"","family":"Gutiérrez","given":"Carmen","non-dropping-particle":"","parse-names":false,"suffix":""}],"container-title":"Journal of Neuroimmunology","id":"ITEM-1","issue":"2","issued":{"date-parts":[["1998","5","15"]]},"page":"122-130","publisher":"Elsevier","title":"Glucocorticoids increase IL-10 expression in multiple sclerosis patients with acute relapse","type":"article-journal","volume":"85"}}],"schema":"https://github.com/citation-style-language/schema/raw/master/csl-citation.json"} </w:instrText>
      </w:r>
      <w:r w:rsidRPr="000D12C7">
        <w:rPr>
          <w:color w:val="000000"/>
        </w:rPr>
        <w:fldChar w:fldCharType="separate"/>
      </w:r>
      <w:r w:rsidR="00DA7707" w:rsidRPr="00DA7707">
        <w:rPr>
          <w:vertAlign w:val="superscript"/>
        </w:rPr>
        <w:t>119</w:t>
      </w:r>
      <w:r w:rsidRPr="000D12C7">
        <w:rPr>
          <w:color w:val="000000"/>
        </w:rPr>
        <w:fldChar w:fldCharType="end"/>
      </w:r>
      <w:r w:rsidRPr="000D12C7">
        <w:rPr>
          <w:color w:val="000000"/>
        </w:rPr>
        <w:t xml:space="preserve"> </w:t>
      </w:r>
      <w:r>
        <w:rPr>
          <w:color w:val="000000"/>
        </w:rPr>
        <w:t>A</w:t>
      </w:r>
      <w:r w:rsidRPr="000D12C7">
        <w:rPr>
          <w:color w:val="000000"/>
        </w:rPr>
        <w:t>nnexin</w:t>
      </w:r>
      <w:r>
        <w:rPr>
          <w:color w:val="000000"/>
        </w:rPr>
        <w:t>-</w:t>
      </w:r>
      <w:r w:rsidRPr="000D12C7">
        <w:rPr>
          <w:color w:val="000000"/>
        </w:rPr>
        <w:t>1,</w:t>
      </w:r>
      <w:r w:rsidRPr="000D12C7">
        <w:rPr>
          <w:color w:val="000000"/>
        </w:rPr>
        <w:fldChar w:fldCharType="begin" w:fldLock="1"/>
      </w:r>
      <w:r w:rsidR="00DA7707">
        <w:rPr>
          <w:color w:val="000000"/>
        </w:rPr>
        <w:instrText xml:space="preserve"> ADDIN ZOTERO_ITEM CSL_CITATION {"citationID":"MeLH2bHi","properties":{"formattedCitation":"\\super 120\\nosupersub{}","plainCitation":"120","noteIndex":0},"citationItems":[{"id":"cN3eXgV6/eR5hnejs","uris":["http://www.mendeley.com/documents/?uuid=20b28393-0ad0-4ef9-a3f2-bdc40a675d52"],"uri":["http://www.mendeley.com/documents/?uuid=20b28393-0ad0-4ef9-a3f2-bdc40a675d52"],"itemData":{"DOI":"10.1056/NEJMra050541","ISSN":"00284793","abstract":"Glucocorticoids are among the most common therapeutic agents used in medical practice, yet their mechanisms of action are only partly understood. This review summarizes our understanding of how glucocorticoids inhibit inflammation and give rise to side effects. Copyright © 2005 Massachusetts Medical Society. All rights reserved.","author":[{"dropping-particle":"","family":"Rhen","given":"Turk","non-dropping-particle":"","parse-names":false,"suffix":""},{"dropping-particle":"","family":"Cidlowski","given":"John A.","non-dropping-particle":"","parse-names":false,"suffix":""}],"container-title":"New England Journal of Medicine","id":"ITEM-1","issued":{"date-parts":[["2005"]]},"title":"Antiinflammatory action of glucocorticoids - New mechanisms for old drugs","type":"article"}}],"schema":"https://github.com/citation-style-language/schema/raw/master/csl-citation.json"} </w:instrText>
      </w:r>
      <w:r w:rsidRPr="000D12C7">
        <w:rPr>
          <w:color w:val="000000"/>
        </w:rPr>
        <w:fldChar w:fldCharType="separate"/>
      </w:r>
      <w:r w:rsidR="00DA7707" w:rsidRPr="00DA7707">
        <w:rPr>
          <w:vertAlign w:val="superscript"/>
        </w:rPr>
        <w:t>120</w:t>
      </w:r>
      <w:r w:rsidRPr="000D12C7">
        <w:rPr>
          <w:color w:val="000000"/>
        </w:rPr>
        <w:fldChar w:fldCharType="end"/>
      </w:r>
      <w:r w:rsidRPr="000D12C7">
        <w:rPr>
          <w:color w:val="000000"/>
        </w:rPr>
        <w:t xml:space="preserve"> and inhibitor of NF-ĸB</w:t>
      </w:r>
      <w:r>
        <w:rPr>
          <w:color w:val="000000"/>
        </w:rPr>
        <w:t xml:space="preserve"> (I-</w:t>
      </w:r>
      <w:r w:rsidRPr="000D12C7">
        <w:rPr>
          <w:color w:val="000000"/>
        </w:rPr>
        <w:t>ĸB</w:t>
      </w:r>
      <w:r>
        <w:rPr>
          <w:color w:val="000000"/>
        </w:rPr>
        <w:t>)</w:t>
      </w:r>
      <w:r w:rsidRPr="000D12C7">
        <w:rPr>
          <w:color w:val="000000"/>
        </w:rPr>
        <w:t>.</w:t>
      </w:r>
      <w:r w:rsidRPr="000D12C7">
        <w:rPr>
          <w:color w:val="000000"/>
        </w:rPr>
        <w:fldChar w:fldCharType="begin" w:fldLock="1"/>
      </w:r>
      <w:r w:rsidR="00DA7707">
        <w:rPr>
          <w:color w:val="000000"/>
        </w:rPr>
        <w:instrText xml:space="preserve"> ADDIN ZOTERO_ITEM CSL_CITATION {"citationID":"CvFOk0H5","properties":{"formattedCitation":"\\super 121\\nosupersub{}","plainCitation":"121","noteIndex":0},"citationItems":[{"id":"cN3eXgV6/BOxXxqO7","uris":["http://www.mendeley.com/documents/?uuid=2c60fd94-859e-48a9-9c42-83b91204a0f0"],"uri":["http://www.mendeley.com/documents/?uuid=2c60fd94-859e-48a9-9c42-83b91204a0f0"],"itemData":{"DOI":"10.1126/science.270.5234.286","ISSN":"00368075","abstract":"Glucocorticoids are among the most potent anti-inflammatory and immunosuppressive agents. They inhibit synthesis of almost all known cytokines and of several cell surface molecules required for immune function, but the mechanism underlying this activity has been unclear. Here it is shown that glucocorticoids are potent inhibitors of nuclear factor kappa B (NF-kappa B) activation in mice and cultured cells. This inhibition is mediated by induction of the I kappa B alpha inhibitory protein, which traps activated NF-kappa B in inactive cytoplasmic complexes. Because NF-kappa B activates many immunoregulatory genes in response to pro-inflammatory stimuli, the inhibition of its activity can be a major component of the anti-inflammatory activity of glucocorticoids.","author":[{"dropping-particle":"","family":"Auphan","given":"Nathalie","non-dropping-particle":"","parse-names":false,"suffix":""},{"dropping-particle":"","family":"DiDonato","given":"Joseph A.","non-dropping-particle":"","parse-names":false,"suffix":""},{"dropping-particle":"","family":"Rosette","given":"Caridad","non-dropping-particle":"","parse-names":false,"suffix":""},{"dropping-particle":"","family":"Helmberg","given":"Arno","non-dropping-particle":"","parse-names":false,"suffix":""},{"dropping-particle":"","family":"Karin","given":"Michael","non-dropping-particle":"","parse-names":false,"suffix":""}],"container-title":"Science","id":"ITEM-1","issued":{"date-parts":[["1995"]]},"title":"Immunosuppression by glucocorticoids: Inhibition of NF-κB activity through induction of IκB synthesis","type":"article-journal"}}],"schema":"https://github.com/citation-style-language/schema/raw/master/csl-citation.json"} </w:instrText>
      </w:r>
      <w:r w:rsidRPr="000D12C7">
        <w:rPr>
          <w:color w:val="000000"/>
        </w:rPr>
        <w:fldChar w:fldCharType="separate"/>
      </w:r>
      <w:r w:rsidR="00DA7707" w:rsidRPr="00DA7707">
        <w:rPr>
          <w:vertAlign w:val="superscript"/>
        </w:rPr>
        <w:t>121</w:t>
      </w:r>
      <w:r w:rsidRPr="000D12C7">
        <w:rPr>
          <w:color w:val="000000"/>
        </w:rPr>
        <w:fldChar w:fldCharType="end"/>
      </w:r>
      <w:r>
        <w:rPr>
          <w:color w:val="000000"/>
        </w:rPr>
        <w:t xml:space="preserve"> Although information regarding the precise mechanisms of GCs in VF tissue </w:t>
      </w:r>
      <w:r w:rsidR="00B825E3">
        <w:rPr>
          <w:color w:val="000000"/>
        </w:rPr>
        <w:t xml:space="preserve">is </w:t>
      </w:r>
      <w:r>
        <w:rPr>
          <w:color w:val="000000"/>
        </w:rPr>
        <w:t>still emerging, these mechanisms have been well established in other tissue types.</w:t>
      </w:r>
    </w:p>
    <w:p w14:paraId="78B8F37B" w14:textId="29BDCEF0" w:rsidR="006B4B29" w:rsidRDefault="006B4B29" w:rsidP="00BC58F3">
      <w:pPr>
        <w:pStyle w:val="Heading3"/>
      </w:pPr>
      <w:bookmarkStart w:id="34" w:name="_Toc88218517"/>
      <w:r>
        <w:t>Glucocorticoid Mechanism of Action</w:t>
      </w:r>
      <w:bookmarkEnd w:id="34"/>
    </w:p>
    <w:p w14:paraId="77DEE88E" w14:textId="2728E74A" w:rsidR="00731488" w:rsidRDefault="00731488" w:rsidP="00731488">
      <w:pPr>
        <w:pBdr>
          <w:top w:val="nil"/>
          <w:left w:val="nil"/>
          <w:bottom w:val="nil"/>
          <w:right w:val="nil"/>
          <w:between w:val="nil"/>
        </w:pBdr>
        <w:ind w:right="-15"/>
        <w:rPr>
          <w:color w:val="000000"/>
        </w:rPr>
      </w:pPr>
      <w:r>
        <w:rPr>
          <w:color w:val="000000"/>
        </w:rPr>
        <w:t xml:space="preserve">During an injury or traumatic event, the body produces free endogenous GCs called cortisol. </w:t>
      </w:r>
      <w:r w:rsidRPr="000D12C7">
        <w:rPr>
          <w:color w:val="000000"/>
        </w:rPr>
        <w:t xml:space="preserve">The basic actions of endogenous GCs are regulated by the hypothalamic-pituitary-adrenal axis. After an injury, neural, endocrine, and cytokine signals promote </w:t>
      </w:r>
      <w:r>
        <w:rPr>
          <w:color w:val="000000"/>
        </w:rPr>
        <w:t xml:space="preserve">the </w:t>
      </w:r>
      <w:r w:rsidRPr="000D12C7">
        <w:rPr>
          <w:color w:val="000000"/>
        </w:rPr>
        <w:t>hypothalamic secretion of corticotropin-releasing hormone</w:t>
      </w:r>
      <w:r>
        <w:rPr>
          <w:color w:val="000000"/>
        </w:rPr>
        <w:t xml:space="preserve"> (CRH)</w:t>
      </w:r>
      <w:r w:rsidRPr="000D12C7">
        <w:rPr>
          <w:color w:val="000000"/>
        </w:rPr>
        <w:t xml:space="preserve"> into the anterior pituitary via a group of capillaries called the hypophyseal portal system.</w:t>
      </w:r>
      <w:r w:rsidRPr="000D12C7">
        <w:rPr>
          <w:color w:val="000000"/>
        </w:rPr>
        <w:fldChar w:fldCharType="begin" w:fldLock="1"/>
      </w:r>
      <w:r w:rsidR="00DA7707">
        <w:rPr>
          <w:color w:val="000000"/>
        </w:rPr>
        <w:instrText xml:space="preserve"> ADDIN ZOTERO_ITEM CSL_CITATION {"citationID":"JZlpcjyA","properties":{"formattedCitation":"\\super 122\\nosupersub{}","plainCitation":"122","noteIndex":0},"citationItems":[{"id":"cN3eXgV6/UVFavV4k","uris":["http://www.mendeley.com/documents/?uuid=6fe8160d-ab00-341d-903f-ab189698ffe3"],"uri":["http://www.mendeley.com/documents/?uuid=6fe8160d-ab00-341d-903f-ab189698ffe3"],"itemData":{"DOI":"10.1146/annurev.immunol.20.082401.104914","abstract":"Key Words glucocorticoid, immune response, inflammatory/autoimmune disease, HPA axis, cytokines s Abstract A reciprocal regulation exists between the central nervous and immune systems through which the CNS signals the immune system via hormonal and neuronal pathways and the immune system signals the CNS through cytokines. The primary hormonal pathway by which the CNS regulates the immune system is the hypothalamic-pituitary-adrenal axis, through the hormones of the neuroen-docrine stress response. The sympathetic nervous system regulates the function of the immune system primarily via adrenergic neurotransmitters released through neu-ronal routes. Neuroendocrine regulation of immune function is essential for survival during stress or infection and to modulate immune responses in inflammatory disease. Glucocorticoids are the main effector end point of this neuroendocrine system and, through the glucocorticoid receptor, have multiple effects on immune cells and molecules. This review focuses on the regulation of the immune response via the neuroendocrine system. Particular details are presented on the effects of interruptions of this regulatory loop at multiple levels in predisposition and expression of immune diseases and on mechanisms of glucocorticoid effects on immune cells and molecules.","author":[{"dropping-particle":"","family":"Webster","given":"Jeanette I","non-dropping-particle":"","parse-names":false,"suffix":""},{"dropping-particle":"","family":"Tonelli","given":"Leonardo","non-dropping-particle":"","parse-names":false,"suffix":""},{"dropping-particle":"","family":"Sternberg","given":"Esther M","non-dropping-particle":"","parse-names":false,"suffix":""}],"container-title":"Annu. Rev. Immunol","id":"ITEM-1","issued":{"date-parts":[["2002"]]},"page":"125-63","title":"Neuroendocrine regulation of immunity","type":"article-journal","volume":"20"}}],"schema":"https://github.com/citation-style-language/schema/raw/master/csl-citation.json"} </w:instrText>
      </w:r>
      <w:r w:rsidRPr="000D12C7">
        <w:rPr>
          <w:color w:val="000000"/>
        </w:rPr>
        <w:fldChar w:fldCharType="separate"/>
      </w:r>
      <w:r w:rsidR="00DA7707" w:rsidRPr="00DA7707">
        <w:rPr>
          <w:vertAlign w:val="superscript"/>
        </w:rPr>
        <w:t>122</w:t>
      </w:r>
      <w:r w:rsidRPr="000D12C7">
        <w:rPr>
          <w:color w:val="000000"/>
        </w:rPr>
        <w:fldChar w:fldCharType="end"/>
      </w:r>
      <w:r w:rsidRPr="000D12C7">
        <w:rPr>
          <w:color w:val="000000"/>
        </w:rPr>
        <w:t xml:space="preserve"> Corticotropin-releasing hormone induces the anterior pituitary to release corticotropin, inducing the</w:t>
      </w:r>
      <w:r>
        <w:rPr>
          <w:color w:val="000000"/>
        </w:rPr>
        <w:t xml:space="preserve"> adrenal glands to</w:t>
      </w:r>
      <w:r w:rsidRPr="000D12C7">
        <w:rPr>
          <w:color w:val="000000"/>
        </w:rPr>
        <w:t xml:space="preserve"> secret</w:t>
      </w:r>
      <w:r>
        <w:rPr>
          <w:color w:val="000000"/>
        </w:rPr>
        <w:t xml:space="preserve">e </w:t>
      </w:r>
      <w:r w:rsidRPr="000D12C7">
        <w:rPr>
          <w:color w:val="000000"/>
        </w:rPr>
        <w:t>cortisol systemically and eventually to the cells and tissue at the site of inflammation</w:t>
      </w:r>
      <w:r>
        <w:rPr>
          <w:color w:val="000000"/>
        </w:rPr>
        <w:t xml:space="preserve">. </w:t>
      </w:r>
      <w:r w:rsidRPr="00587C12">
        <w:rPr>
          <w:color w:val="000000"/>
        </w:rPr>
        <w:t xml:space="preserve">Elevation of </w:t>
      </w:r>
      <w:r>
        <w:rPr>
          <w:color w:val="000000"/>
        </w:rPr>
        <w:t>GCs</w:t>
      </w:r>
      <w:r w:rsidRPr="00587C12">
        <w:rPr>
          <w:color w:val="000000"/>
        </w:rPr>
        <w:t xml:space="preserve"> </w:t>
      </w:r>
      <w:r>
        <w:rPr>
          <w:color w:val="000000"/>
        </w:rPr>
        <w:t xml:space="preserve">in the bloodstream </w:t>
      </w:r>
      <w:r w:rsidRPr="00587C12">
        <w:rPr>
          <w:color w:val="000000"/>
        </w:rPr>
        <w:t xml:space="preserve">will attenuate the </w:t>
      </w:r>
      <w:r>
        <w:rPr>
          <w:color w:val="000000"/>
        </w:rPr>
        <w:t>production of CRH in the hypothalamus through a negative feedback loop.</w:t>
      </w:r>
      <w:r w:rsidRPr="000D12C7">
        <w:rPr>
          <w:color w:val="000000"/>
        </w:rPr>
        <w:fldChar w:fldCharType="begin" w:fldLock="1"/>
      </w:r>
      <w:r w:rsidR="00DA7707">
        <w:rPr>
          <w:color w:val="000000"/>
        </w:rPr>
        <w:instrText xml:space="preserve"> ADDIN ZOTERO_ITEM CSL_CITATION {"citationID":"qdOJjf6i","properties":{"formattedCitation":"\\super 120\\nosupersub{}","plainCitation":"120","noteIndex":0},"citationItems":[{"id":"cN3eXgV6/eR5hnejs","uris":["http://www.mendeley.com/documents/?uuid=20b28393-0ad0-4ef9-a3f2-bdc40a675d52"],"uri":["http://www.mendeley.com/documents/?uuid=20b28393-0ad0-4ef9-a3f2-bdc40a675d52"],"itemData":{"DOI":"10.1056/NEJMra050541","ISSN":"00284793","abstract":"Glucocorticoids are among the most common therapeutic agents used in medical practice, yet their mechanisms of action are only partly understood. This review summarizes our understanding of how glucocorticoids inhibit inflammation and give rise to side effects. Copyright © 2005 Massachusetts Medical Society. All rights reserved.","author":[{"dropping-particle":"","family":"Rhen","given":"Turk","non-dropping-particle":"","parse-names":false,"suffix":""},{"dropping-particle":"","family":"Cidlowski","given":"John A.","non-dropping-particle":"","parse-names":false,"suffix":""}],"container-title":"New England Journal of Medicine","id":"ITEM-1","issued":{"date-parts":[["2005"]]},"title":"Antiinflammatory action of glucocorticoids - New mechanisms for old drugs","type":"article"}}],"schema":"https://github.com/citation-style-language/schema/raw/master/csl-citation.json"} </w:instrText>
      </w:r>
      <w:r w:rsidRPr="000D12C7">
        <w:rPr>
          <w:color w:val="000000"/>
        </w:rPr>
        <w:fldChar w:fldCharType="separate"/>
      </w:r>
      <w:r w:rsidR="00DA7707" w:rsidRPr="00DA7707">
        <w:rPr>
          <w:vertAlign w:val="superscript"/>
        </w:rPr>
        <w:t>120</w:t>
      </w:r>
      <w:r w:rsidRPr="000D12C7">
        <w:rPr>
          <w:color w:val="000000"/>
        </w:rPr>
        <w:fldChar w:fldCharType="end"/>
      </w:r>
      <w:r w:rsidRPr="000D12C7">
        <w:rPr>
          <w:color w:val="000000"/>
        </w:rPr>
        <w:t xml:space="preserve"> </w:t>
      </w:r>
    </w:p>
    <w:p w14:paraId="7BF9E372" w14:textId="552C6A0C" w:rsidR="00731488" w:rsidRPr="00731488" w:rsidRDefault="003457D4" w:rsidP="003457D4">
      <w:pPr>
        <w:pBdr>
          <w:top w:val="nil"/>
          <w:left w:val="nil"/>
          <w:bottom w:val="nil"/>
          <w:right w:val="nil"/>
          <w:between w:val="nil"/>
        </w:pBdr>
        <w:ind w:right="-15"/>
      </w:pPr>
      <w:r w:rsidRPr="000D12C7">
        <w:rPr>
          <w:color w:val="000000"/>
        </w:rPr>
        <w:t>Cortisol passes through the plasma membrane of the cell and enters the cytoplasm, binding</w:t>
      </w:r>
      <w:r>
        <w:rPr>
          <w:color w:val="000000"/>
        </w:rPr>
        <w:t xml:space="preserve"> to</w:t>
      </w:r>
      <w:r w:rsidRPr="000D12C7">
        <w:rPr>
          <w:color w:val="000000"/>
        </w:rPr>
        <w:t xml:space="preserve"> the </w:t>
      </w:r>
      <w:r w:rsidR="00A67BA9">
        <w:rPr>
          <w:color w:val="000000"/>
        </w:rPr>
        <w:t>GC</w:t>
      </w:r>
      <w:r w:rsidRPr="000D12C7">
        <w:rPr>
          <w:color w:val="000000"/>
        </w:rPr>
        <w:t xml:space="preserve"> receptor (G</w:t>
      </w:r>
      <w:r>
        <w:rPr>
          <w:color w:val="000000"/>
        </w:rPr>
        <w:t>C</w:t>
      </w:r>
      <w:r w:rsidRPr="000D12C7">
        <w:rPr>
          <w:color w:val="000000"/>
        </w:rPr>
        <w:t>R). The G</w:t>
      </w:r>
      <w:r>
        <w:rPr>
          <w:color w:val="000000"/>
        </w:rPr>
        <w:t>C</w:t>
      </w:r>
      <w:r w:rsidRPr="000D12C7">
        <w:rPr>
          <w:color w:val="000000"/>
        </w:rPr>
        <w:t xml:space="preserve">R is present in almost all cells and plays a key role in the anti-inflammatory signaling pathway. </w:t>
      </w:r>
      <w:r w:rsidRPr="000D12C7">
        <w:t>Once bound, the GC-G</w:t>
      </w:r>
      <w:r>
        <w:t>C</w:t>
      </w:r>
      <w:r w:rsidRPr="000D12C7">
        <w:t>R complex dissociates from chaperone proteins, revealing specific binding domains enabling the</w:t>
      </w:r>
      <w:r>
        <w:t xml:space="preserve"> protein</w:t>
      </w:r>
      <w:r w:rsidRPr="000D12C7">
        <w:t xml:space="preserve"> complex to influence inflammatory gene expression via direct genomic, indirect genomic, and non-genomic mechanisms.</w:t>
      </w:r>
    </w:p>
    <w:p w14:paraId="0FDFD525" w14:textId="04B59353" w:rsidR="00624784" w:rsidRDefault="003457D4" w:rsidP="001468E1">
      <w:pPr>
        <w:pStyle w:val="Heading4"/>
      </w:pPr>
      <w:bookmarkStart w:id="35" w:name="_Toc88218518"/>
      <w:r>
        <w:t xml:space="preserve">Direct </w:t>
      </w:r>
      <w:r w:rsidR="00E65E3A">
        <w:t>Genomic</w:t>
      </w:r>
      <w:r w:rsidR="00B50A64">
        <w:t xml:space="preserve"> Mechanism of Action</w:t>
      </w:r>
      <w:bookmarkEnd w:id="35"/>
      <w:r w:rsidR="00967FBA">
        <w:t xml:space="preserve"> </w:t>
      </w:r>
    </w:p>
    <w:p w14:paraId="3250B8CC" w14:textId="202BD090" w:rsidR="00982692" w:rsidRDefault="00967FBA" w:rsidP="00967FBA">
      <w:r w:rsidRPr="000D12C7">
        <w:t>Direct genomic effects of GCs involve the GC-G</w:t>
      </w:r>
      <w:r>
        <w:t>C</w:t>
      </w:r>
      <w:r w:rsidRPr="000D12C7">
        <w:t xml:space="preserve">R complex entering the nucleus and dimerizing to become a chain of two identical proteins (i.e. homodimer). The homodimer binds to promoter regions of </w:t>
      </w:r>
      <w:r>
        <w:t xml:space="preserve">DNA </w:t>
      </w:r>
      <w:r w:rsidRPr="000D12C7">
        <w:t>called glucocorticoid-responsive elements</w:t>
      </w:r>
      <w:r w:rsidR="00D131AB">
        <w:t xml:space="preserve"> (GRE)</w:t>
      </w:r>
      <w:r w:rsidRPr="000D12C7">
        <w:t>, increasing the transcription of anti-inflammatory mRNA</w:t>
      </w:r>
      <w:r>
        <w:t>.</w:t>
      </w:r>
      <w:r w:rsidRPr="000D12C7">
        <w:fldChar w:fldCharType="begin" w:fldLock="1"/>
      </w:r>
      <w:r w:rsidR="00DA7707">
        <w:instrText xml:space="preserve"> ADDIN ZOTERO_ITEM CSL_CITATION {"citationID":"0GZWWroC","properties":{"formattedCitation":"\\super 119,123\\nosupersub{}","plainCitation":"119,123","noteIndex":0},"citationItems":[{"id":"cN3eXgV6/sNW7kS7F","uris":["http://www.mendeley.com/documents/?uuid=8393f2a1-1104-372c-a11b-68ce7289c3d1"],"uri":["http://www.mendeley.com/documents/?uuid=8393f2a1-1104-372c-a11b-68ce7289c3d1"],"itemData":{"DOI":"10.1016/S0165-5728(97)00262-2","ISSN":"0165-5728","abstract":"High doses of glucocorticoids (GCs) are widely employed to treat acute attacks in relapsing–remitting multiple sclerosis (MS) patients. Their beneficial effects are partially due to their capacity to regulate the cytokine network. In the present work, we have examined the effect of GCs on the production of the immunosuppressor cytokine IL-10. Blood samples from MS patients suffering an acute relapse were obtained immediately before initiating therapy and after receiving a daily dose of 1 g intravenous methylprednisolone (MP) for four days. Levels of IL-10 mRNA in PBMC were semiquantified by RT-PCR, whereas protein concentration in serum and in cell culture supernatant was measured by ELISA. Our results show that 7 out of the 9 patients studied displayed increased IL-10 mRNA expression as well as higher serum IL-10 concentration following steroid treatment. In contrast, mRNA expression of two inflammatory cytokines, TNFα and IFNγ, decreased following steroid therapy. In vitro experiments employing normal PBMC showed that methylprednisolone (MP) upregulated IL-10 expression as determined by measuring mRNA levels, flow cytometry of intracytoplasmic protein concentration, and the amount of secreted protein. Peak responses of secreted IL-10 by PBMC cultured cells treated with MP were obtained at 48 h. The effect was steroid-specific as IL-10 expression reversed to baseline levels in the presence of the glucocorticoid receptor antagonist RU486. Contrary to the effect of MP on the spontaneous expression of IL-10, this drug downregulated LPS-induced IL-10 synthesis. In fact, the concentration of IL-10 in LPS-induced IL-10 secretion from normal PBMC decreased upon addition of MP to cell cultures. Thus, it seems that MP exerts an opposite effect on the spontaneous and LPS-induced IL-10 production. Our studies indicate that GCs may control inflammatory responses by upregulating production of the immunosuppressor cytokine IL-10.","author":[{"dropping-particle":"","family":"Gayo","given":"Abel","non-dropping-particle":"","parse-names":false,"suffix":""},{"dropping-particle":"","family":"Mozo","given":"Lourdes","non-dropping-particle":"","parse-names":false,"suffix":""},{"dropping-particle":"","family":"Suárez","given":"Ana","non-dropping-particle":"","parse-names":false,"suffix":""},{"dropping-particle":"","family":"Tuñon","given":"Alberto","non-dropping-particle":"","parse-names":false,"suffix":""},{"dropping-particle":"","family":"Lahoz","given":"Carlos","non-dropping-particle":"","parse-names":false,"suffix":""},{"dropping-particle":"","family":"Gutiérrez","given":"Carmen","non-dropping-particle":"","parse-names":false,"suffix":""}],"container-title":"Journal of Neuroimmunology","id":"ITEM-1","issue":"2","issued":{"date-parts":[["1998","5","15"]]},"page":"122-130","publisher":"Elsevier","title":"Glucocorticoids increase IL-10 expression in multiple sclerosis patients with acute relapse","type":"article-journal","volume":"85"}},{"id":"cN3eXgV6/mNi3vbHU","uris":["http://www.mendeley.com/documents/?uuid=4fcc4151-33c4-421c-a8ba-21d734182cda"],"uri":["http://www.mendeley.com/documents/?uuid=4fcc4151-33c4-421c-a8ba-21d734182cda"],"itemData":{"DOI":"10.1038/sj.bjp.0706736","ISSN":"00071188","abstract":"Corticosteroids are the most effective anti-inflammatory therapy for many chronic inflammatory diseases, such as asthma but are relatively ineffective in other diseases such as chronic obstructive pulmonary disease (COPD). Chronic inflammation is characterised by the increased expression of multiple inflammatory genes that are regulated by proinflammatory transcription factors, such as nuclear factor-kappaB and activator protein-1, that bind to and activate coactivator molecules, which then acetylate core histones to switch on gene transcription. Corticosteroids suppress the multiple inflammatory genes that are activated in chronic inflammatory diseases, such as asthma, mainly by reversing histone acetylation of activated inflammatory genes through binding of liganded glucocorticoid receptors (GR) to coactivators and recruitment of histone deacetylase-2 (HDAC2) to the activated transcription complex. At higher concentrations of corticosteroids GR homodimers also interact with DNA recognition sites to active transcription of anti-inflammatory genes and to inhibit transcription of several genes linked to corticosteroid side effects. In patients with COPD and severe asthma and in asthmatic patients who smoke HDAC2 is markedly reduced in activity and expres-sion as a result of oxidative/nitrative stress so that inflammation becomes resistant to the anti-inflammatory actions of corticosteroids. Theophylline, by activating HDAC, may reverse this corticosteroid resistance. This research may lead to the development of novel anti-inflammatory approaches to manage severe inflammatory diseases.","author":[{"dropping-particle":"","family":"Barnes","given":"Peter J.","non-dropping-particle":"","parse-names":false,"suffix":""}],"container-title":"British Journal of Pharmacology","id":"ITEM-2","issue":"3","issued":{"date-parts":[["2006"]]},"page":"245-254","title":"How corticosteroids control inflammation: Quintiles Prize Lecture 2005","type":"article-journal","volume":"148"}}],"schema":"https://github.com/citation-style-language/schema/raw/master/csl-citation.json"} </w:instrText>
      </w:r>
      <w:r w:rsidRPr="000D12C7">
        <w:fldChar w:fldCharType="separate"/>
      </w:r>
      <w:r w:rsidR="00DA7707" w:rsidRPr="00DA7707">
        <w:rPr>
          <w:vertAlign w:val="superscript"/>
        </w:rPr>
        <w:t>119,123</w:t>
      </w:r>
      <w:r w:rsidRPr="000D12C7">
        <w:fldChar w:fldCharType="end"/>
      </w:r>
      <w:r w:rsidRPr="000D12C7">
        <w:t xml:space="preserve"> The mRNA then exits the nucleus and codes for the translation and synthesis of specific anti-inflammatory proteins that inhibit inflammation induced by the original injury (</w:t>
      </w:r>
      <w:r>
        <w:t xml:space="preserve">Figure </w:t>
      </w:r>
      <w:r w:rsidR="00BE4694">
        <w:t>7</w:t>
      </w:r>
      <w:r w:rsidRPr="000D12C7">
        <w:t>)</w:t>
      </w:r>
      <w:r>
        <w:t>.</w:t>
      </w:r>
    </w:p>
    <w:p w14:paraId="38372F8F" w14:textId="77777777" w:rsidR="008D147F" w:rsidRDefault="008D147F" w:rsidP="008D147F">
      <w:pPr>
        <w:keepNext/>
        <w:ind w:firstLine="0"/>
        <w:jc w:val="center"/>
      </w:pPr>
      <w:r>
        <w:rPr>
          <w:noProof/>
        </w:rPr>
        <w:drawing>
          <wp:inline distT="0" distB="0" distL="0" distR="0" wp14:anchorId="4BD14645" wp14:editId="2A1E83B2">
            <wp:extent cx="5887538" cy="3586299"/>
            <wp:effectExtent l="19050" t="19050" r="18415" b="146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21926" cy="3607246"/>
                    </a:xfrm>
                    <a:prstGeom prst="rect">
                      <a:avLst/>
                    </a:prstGeom>
                    <a:noFill/>
                    <a:ln>
                      <a:solidFill>
                        <a:schemeClr val="tx1"/>
                      </a:solidFill>
                    </a:ln>
                  </pic:spPr>
                </pic:pic>
              </a:graphicData>
            </a:graphic>
          </wp:inline>
        </w:drawing>
      </w:r>
    </w:p>
    <w:p w14:paraId="07AA563C" w14:textId="02C444A3" w:rsidR="00967FBA" w:rsidRPr="00967FBA" w:rsidRDefault="008D147F" w:rsidP="008D147F">
      <w:pPr>
        <w:pStyle w:val="Caption"/>
      </w:pPr>
      <w:bookmarkStart w:id="36" w:name="_Toc88218600"/>
      <w:r>
        <w:t xml:space="preserve">Figure </w:t>
      </w:r>
      <w:r>
        <w:fldChar w:fldCharType="begin"/>
      </w:r>
      <w:r>
        <w:instrText xml:space="preserve"> SEQ Figure \* ARABIC </w:instrText>
      </w:r>
      <w:r>
        <w:fldChar w:fldCharType="separate"/>
      </w:r>
      <w:r w:rsidR="00CD04FC">
        <w:t>7</w:t>
      </w:r>
      <w:r>
        <w:fldChar w:fldCharType="end"/>
      </w:r>
      <w:r>
        <w:t xml:space="preserve">. Illustration of </w:t>
      </w:r>
      <w:r w:rsidR="00AC131A">
        <w:t xml:space="preserve">the </w:t>
      </w:r>
      <w:r>
        <w:t>direct genomic mechanism of GCs</w:t>
      </w:r>
      <w:bookmarkEnd w:id="36"/>
    </w:p>
    <w:p w14:paraId="7746B7E7" w14:textId="6A29F3FD" w:rsidR="001057EA" w:rsidRDefault="001057EA" w:rsidP="006F7987">
      <w:pPr>
        <w:pStyle w:val="Heading4"/>
      </w:pPr>
      <w:bookmarkStart w:id="37" w:name="_Toc88218519"/>
      <w:r>
        <w:t xml:space="preserve">Indirect </w:t>
      </w:r>
      <w:r w:rsidR="00AB5BD3">
        <w:t>Genomic</w:t>
      </w:r>
      <w:r w:rsidR="00B50A64">
        <w:t xml:space="preserve"> Mechanism of Action</w:t>
      </w:r>
      <w:bookmarkEnd w:id="37"/>
      <w:r w:rsidR="00B50A64">
        <w:t xml:space="preserve"> </w:t>
      </w:r>
    </w:p>
    <w:p w14:paraId="2177435D" w14:textId="5444577C" w:rsidR="00070162" w:rsidRDefault="008C24D0" w:rsidP="00070162">
      <w:pPr>
        <w:pBdr>
          <w:top w:val="nil"/>
          <w:left w:val="nil"/>
          <w:bottom w:val="nil"/>
          <w:right w:val="nil"/>
          <w:between w:val="nil"/>
        </w:pBdr>
        <w:ind w:right="-15"/>
        <w:rPr>
          <w:color w:val="000000"/>
        </w:rPr>
      </w:pPr>
      <w:r w:rsidRPr="000D12C7">
        <w:t>Indirect genomic mechanisms of GCs also involve the GC-G</w:t>
      </w:r>
      <w:r>
        <w:t>C</w:t>
      </w:r>
      <w:r w:rsidRPr="000D12C7">
        <w:t xml:space="preserve">R complex entering the nucleus, homodimerizing, and interfering with </w:t>
      </w:r>
      <w:r w:rsidRPr="000D12C7">
        <w:rPr>
          <w:color w:val="000000"/>
        </w:rPr>
        <w:t>NF-ĸB</w:t>
      </w:r>
      <w:r w:rsidRPr="000D12C7">
        <w:t xml:space="preserve"> genomic binding affinity</w:t>
      </w:r>
      <w:r w:rsidRPr="000D12C7">
        <w:rPr>
          <w:color w:val="000000"/>
        </w:rPr>
        <w:t>. During the uninterrupted inflammatory process, the transcription factor NF-ĸB</w:t>
      </w:r>
      <w:r w:rsidRPr="000D12C7">
        <w:t xml:space="preserve"> typically binds to specific </w:t>
      </w:r>
      <w:r>
        <w:t>DNA sequences</w:t>
      </w:r>
      <w:r w:rsidRPr="000D12C7">
        <w:t xml:space="preserve"> and transcribes inflammatory mRNA for downstream </w:t>
      </w:r>
      <w:r>
        <w:t>translation</w:t>
      </w:r>
      <w:r w:rsidRPr="000D12C7">
        <w:t xml:space="preserve"> of inflammatory cytokines.</w:t>
      </w:r>
      <w:r w:rsidRPr="000D12C7">
        <w:fldChar w:fldCharType="begin" w:fldLock="1"/>
      </w:r>
      <w:r w:rsidR="00DA7707">
        <w:instrText xml:space="preserve"> ADDIN ZOTERO_ITEM CSL_CITATION {"citationID":"x7SNPDuK","properties":{"formattedCitation":"\\super 124\\nosupersub{}","plainCitation":"124","noteIndex":0},"citationItems":[{"id":"cN3eXgV6/YpWpsA1v","uris":["http://www.mendeley.com/documents/?uuid=36bb551d-ef7d-4ead-b4c8-18f898cd2281"],"uri":["http://www.mendeley.com/documents/?uuid=36bb551d-ef7d-4ead-b4c8-18f898cd2281"],"itemData":{"DOI":"10.1210/er.20.4.435","ISSN":"0163769X","PMID":"10453354","abstract":"Immunity and inflammation are physiological processes of profound importance to an organism: without these processes, a host would quickly succumb to invading pathogens or damaging stimuli, yet excessive or inappropriate activation of these responses causes tissue/cellular damage and even death. Therefore, maintaining immune homeostasis is critical for the survival of an organism. Both pro- and antiinflammatory mechanisms must be present and functional for a cell (and by extension, an organism) to survive in the face of environmental stimuli that elicit an immune response. These pathways, when activated simultaneously, provide homeostasis by 'pulling' the cell in opposite directions. Two candidate signaling pathways for this physiological balancing act are the NF-κB and GR-mediated signaling pathways. These pathways, as discussed in this review and depicted in Fig. 6, have important and opposing roles in immune function. NF-κB is a transcription factor which induces the expression of many genes that participate in immune and inflammatory responses, while GR is a transcription factor that serves as a potent antiinflammatory agent and immune suppressor. Their interactions within the cell, while not yet completely understood, appear to be an important, possibly even the primary, mechanism of immune homeostasis. For this reason, research on GR-NF-κB interaction continues to expand as many groups strive to fill in the 'black bones' where the GR and NF-κB-signaling pathways cross. The interaction of inducible/activatable transcription factors, such as NF-κB or the steroid hormone receptors, with the basal transcriptional machinery is an important mechanism for tightly regulating gene-mediated physiological processes such as immunity and inflammation. However, the mechanism by which GR elicits its antiinflammatory effects has, until recently, proven to be a conundrum, since the majority of proimmune/proinflammatory genes repressed by glucocorticoids have no identifiable GREs in their promoters that would allow GR to interact with the basal transcription machinery. The relatively recent discovery that GR and NF-κB are mutual transcriptional antagonists has given researches a handle on potential mechanisms of immune regulation by glucocorticoids. The functional interaction of NF-κB and GR has thus far been demonstrated only in in vitro and cell culture systems, so it is important to consider whether these regulatory factors interact in precisely the same way wit…","author":[{"dropping-particle":"","family":"McKay","given":"Lorraine I.","non-dropping-particle":"","parse-names":false,"suffix":""},{"dropping-particle":"","family":"Cidlowski","given":"John A.","non-dropping-particle":"","parse-names":false,"suffix":""}],"container-title":"Endocrine Reviews","id":"ITEM-1","issued":{"date-parts":[["1999"]]},"title":"Molecular control of immune/inflammatory responses: Interactions between nuclear factor-κB and steroid receptor-signaling pathways","type":"article"}}],"schema":"https://github.com/citation-style-language/schema/raw/master/csl-citation.json"} </w:instrText>
      </w:r>
      <w:r w:rsidRPr="000D12C7">
        <w:fldChar w:fldCharType="separate"/>
      </w:r>
      <w:r w:rsidR="00DA7707" w:rsidRPr="00DA7707">
        <w:rPr>
          <w:vertAlign w:val="superscript"/>
        </w:rPr>
        <w:t>124</w:t>
      </w:r>
      <w:r w:rsidRPr="000D12C7">
        <w:fldChar w:fldCharType="end"/>
      </w:r>
      <w:r w:rsidRPr="000D12C7">
        <w:t xml:space="preserve"> However, </w:t>
      </w:r>
      <w:r>
        <w:t>the</w:t>
      </w:r>
      <w:r w:rsidR="004C454F">
        <w:t xml:space="preserve"> </w:t>
      </w:r>
      <w:r w:rsidRPr="000D12C7">
        <w:t>GC-G</w:t>
      </w:r>
      <w:r>
        <w:t>C</w:t>
      </w:r>
      <w:r w:rsidRPr="000D12C7">
        <w:t xml:space="preserve">R complex </w:t>
      </w:r>
      <w:r>
        <w:t>interacts</w:t>
      </w:r>
      <w:r w:rsidRPr="000D12C7">
        <w:t xml:space="preserve"> with </w:t>
      </w:r>
      <w:r w:rsidRPr="000D12C7">
        <w:rPr>
          <w:color w:val="000000"/>
        </w:rPr>
        <w:t>NF-ĸB</w:t>
      </w:r>
      <w:r>
        <w:rPr>
          <w:color w:val="000000"/>
        </w:rPr>
        <w:t xml:space="preserve"> and competes</w:t>
      </w:r>
      <w:r w:rsidRPr="000D12C7">
        <w:rPr>
          <w:color w:val="000000"/>
        </w:rPr>
        <w:t xml:space="preserve"> for </w:t>
      </w:r>
      <w:r>
        <w:rPr>
          <w:color w:val="000000"/>
        </w:rPr>
        <w:t>DNA</w:t>
      </w:r>
      <w:r w:rsidRPr="000D12C7">
        <w:rPr>
          <w:color w:val="000000"/>
        </w:rPr>
        <w:t xml:space="preserve"> binding sites, inhibiting the binding </w:t>
      </w:r>
      <w:r>
        <w:rPr>
          <w:color w:val="000000"/>
        </w:rPr>
        <w:t>affinity</w:t>
      </w:r>
      <w:r w:rsidRPr="000D12C7">
        <w:rPr>
          <w:color w:val="000000"/>
        </w:rPr>
        <w:t xml:space="preserve"> of NF-ĸB and downstream production of inflammatory cytokines (</w:t>
      </w:r>
      <w:r>
        <w:rPr>
          <w:color w:val="000000"/>
        </w:rPr>
        <w:t xml:space="preserve">Figure </w:t>
      </w:r>
      <w:r w:rsidR="00BE4694">
        <w:rPr>
          <w:color w:val="000000"/>
        </w:rPr>
        <w:t>8</w:t>
      </w:r>
      <w:r w:rsidRPr="000D12C7">
        <w:rPr>
          <w:color w:val="000000"/>
        </w:rPr>
        <w:t>).</w:t>
      </w:r>
      <w:r w:rsidRPr="000D12C7">
        <w:rPr>
          <w:color w:val="000000"/>
        </w:rPr>
        <w:fldChar w:fldCharType="begin" w:fldLock="1"/>
      </w:r>
      <w:r w:rsidR="00DA7707">
        <w:rPr>
          <w:color w:val="000000"/>
        </w:rPr>
        <w:instrText xml:space="preserve"> ADDIN ZOTERO_ITEM CSL_CITATION {"citationID":"uf6IOxc9","properties":{"formattedCitation":"\\super 125,126\\nosupersub{}","plainCitation":"125,126","noteIndex":0},"citationItems":[{"id":"cN3eXgV6/AtKjDEg5","uris":["http://www.mendeley.com/documents/?uuid=3dc1f93b-27f8-3578-a3c5-f2a6a5714cff"],"uri":["http://www.mendeley.com/documents/?uuid=3dc1f93b-27f8-3578-a3c5-f2a6a5714cff"],"itemData":{"DOI":"10.1002/bies.950180507","ISSN":"02659247","abstract":"Glucocorticoid hormones are effective in controlling inflammation, but the mechanisms that confer this action are largely unknown. Recent advances in this field have shown that both positive and negative regulation of gene expression are necessary for this process. The genes whose activity are modulated in the anti-inflammatory process code for several cytokines, adhesion molecules and enzymes. Most of them do not carry a classical binding site for regulation by a glucocorticoid receptor, but have instead regulatory sequences for transcription factors such as AP-1 or NF-κB. This makes them unusual targets for glucocorticoid action and emphasizes the need for novel regulatory mechanisms. Recent studies describe an important contribution by protein-protein interactions, in which several domains of the receptor participate; these studies provide a better understanding of the action of the receptor and offer opportunities for the design of steroidal compounds that could function more effectively as anti-inflammatory drugs.","author":[{"dropping-particle":"","family":"Cato","given":"Andrew C.B.","non-dropping-particle":"","parse-names":false,"suffix":""},{"dropping-particle":"","family":"Wade","given":"Erik","non-dropping-particle":"","parse-names":false,"suffix":""}],"container-title":"BioEssays","id":"ITEM-1","issue":"5","issued":{"date-parts":[["1996"]]},"page":"371-378","publisher":"John Wiley and Sons Inc.","title":"Molecular mechanisms of anti-inflammatory action of glucocorticoids","type":"article-journal","volume":"18"}},{"id":"cN3eXgV6/ZRYFWK8h","uris":["http://www.mendeley.com/documents/?uuid=ffe70925-8265-4094-9dbd-721778f311a2"],"uri":["http://www.mendeley.com/documents/?uuid=ffe70925-8265-4094-9dbd-721778f311a2"],"itemData":{"ISSN":"09348387","abstract":"Glucocorticoids are potent immunosuppressants which work in part by inhibiting cytokine gene transcription. We show here that NF-kappa B, an important regulator of numerous cytokine genes, is functionally inhibited by the synthetic glucocorticoid dexamethasone (DEX). In transfection experiments, DEX treatment in the presence of cotransfected glucocorticoid receptor (GR) inhibits NF-kappa B p65-mediated gene expression and p65 inhibits GR activation of a glucocorticoid response element. Evidence is presented for a direct interaction between GR and the NF-kappa B subunits p65 and p50. In addition, we demonstrate that the ability of p65, p50, and c-rel subunits to bind DNA is inhibited by DEX and GR. In HeLa cells, DEX activation of endogenous GR is sufficient to block tumor necrosis factor alpha or interleukin 1 activation of NF-kappa B at the levels of both DNA binding and transcriptional activation. DEX treatment of HeLa cells also results in a significant loss of nuclear p65 and a slight increase in cytoplasmic p65. These data reveal a second mechanism by which NF-kappa B activity may be regulated by DEX. We also report that RU486 treatment of wild-type GR and DEX treatment of a transactivation mutant of GR each can significantly inhibit p65 activity. In addition, we found that the zinc finger domain of GR is necessary for the inhibition of p65. This domain is also required for GR repression of AP-1. Surprisingly, while both AP-1 and NF-kappa B can be inhibited by activated GR, synergistic NF-kappa B/AP-1 activity is largely unaffected. These data suggest that NF-kappa B, AP-1, and GR interact in a complex regulatory network to modulate gene expression and that cross-coupling of NF-kappa B and GR plays an important role in glucocorticoid-mediated repression of cytokine transcription.","author":[{"dropping-particle":"","family":"Scheinman","given":"R. I.","non-dropping-particle":"","parse-names":false,"suffix":""},{"dropping-particle":"","family":"Gualberto","given":"A.","non-dropping-particle":"","parse-names":false,"suffix":""},{"dropping-particle":"","family":"Jewell","given":"C. M.","non-dropping-particle":"","parse-names":false,"suffix":""},{"dropping-particle":"","family":"Cidlowski","given":"J. A.","non-dropping-particle":"","parse-names":false,"suffix":""},{"dropping-particle":"","family":"Baldwin","given":"A. S.","non-dropping-particle":"","parse-names":false,"suffix":""}],"container-title":"Pneumologie","id":"ITEM-2","issued":{"date-parts":[["1997"]]},"title":"Characterization of mechanisms involved in transrepression of NF-KB by activated glucocorticoid receptors","type":"article-journal"}}],"schema":"https://github.com/citation-style-language/schema/raw/master/csl-citation.json"} </w:instrText>
      </w:r>
      <w:r w:rsidRPr="000D12C7">
        <w:rPr>
          <w:color w:val="000000"/>
        </w:rPr>
        <w:fldChar w:fldCharType="separate"/>
      </w:r>
      <w:r w:rsidR="00DA7707" w:rsidRPr="00DA7707">
        <w:rPr>
          <w:vertAlign w:val="superscript"/>
        </w:rPr>
        <w:t>125,126</w:t>
      </w:r>
      <w:r w:rsidRPr="000D12C7">
        <w:rPr>
          <w:color w:val="000000"/>
        </w:rPr>
        <w:fldChar w:fldCharType="end"/>
      </w:r>
    </w:p>
    <w:p w14:paraId="3A38952F" w14:textId="77777777" w:rsidR="00070162" w:rsidRDefault="00070162" w:rsidP="00070162">
      <w:pPr>
        <w:pBdr>
          <w:top w:val="nil"/>
          <w:left w:val="nil"/>
          <w:bottom w:val="nil"/>
          <w:right w:val="nil"/>
          <w:between w:val="nil"/>
        </w:pBdr>
        <w:ind w:right="-15"/>
        <w:rPr>
          <w:color w:val="000000"/>
        </w:rPr>
      </w:pPr>
    </w:p>
    <w:p w14:paraId="7ADC16E4" w14:textId="77777777" w:rsidR="00070162" w:rsidRDefault="00070162" w:rsidP="00070162">
      <w:pPr>
        <w:keepNext/>
        <w:pBdr>
          <w:top w:val="nil"/>
          <w:left w:val="nil"/>
          <w:bottom w:val="nil"/>
          <w:right w:val="nil"/>
          <w:between w:val="nil"/>
        </w:pBdr>
        <w:tabs>
          <w:tab w:val="left" w:pos="720"/>
        </w:tabs>
        <w:ind w:right="-15" w:firstLine="0"/>
        <w:jc w:val="center"/>
      </w:pPr>
      <w:r>
        <w:rPr>
          <w:noProof/>
          <w:color w:val="000000" w:themeColor="text1"/>
        </w:rPr>
        <w:drawing>
          <wp:inline distT="0" distB="0" distL="0" distR="0" wp14:anchorId="3C862A04" wp14:editId="00A778F5">
            <wp:extent cx="5876907" cy="4302143"/>
            <wp:effectExtent l="19050" t="19050" r="10160" b="22225"/>
            <wp:docPr id="2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3116" cy="4343290"/>
                    </a:xfrm>
                    <a:prstGeom prst="rect">
                      <a:avLst/>
                    </a:prstGeom>
                    <a:noFill/>
                    <a:ln>
                      <a:solidFill>
                        <a:schemeClr val="tx1"/>
                      </a:solidFill>
                    </a:ln>
                  </pic:spPr>
                </pic:pic>
              </a:graphicData>
            </a:graphic>
          </wp:inline>
        </w:drawing>
      </w:r>
    </w:p>
    <w:p w14:paraId="62BDA490" w14:textId="43732A99" w:rsidR="008C24D0" w:rsidRPr="00124299" w:rsidRDefault="00070162" w:rsidP="00124299">
      <w:pPr>
        <w:pStyle w:val="Caption"/>
        <w:rPr>
          <w:color w:val="000000"/>
        </w:rPr>
      </w:pPr>
      <w:bookmarkStart w:id="38" w:name="_Toc88218601"/>
      <w:r>
        <w:t xml:space="preserve">Figure </w:t>
      </w:r>
      <w:r>
        <w:fldChar w:fldCharType="begin"/>
      </w:r>
      <w:r>
        <w:instrText xml:space="preserve"> SEQ Figure \* ARABIC </w:instrText>
      </w:r>
      <w:r>
        <w:fldChar w:fldCharType="separate"/>
      </w:r>
      <w:r w:rsidR="00CD04FC">
        <w:t>8</w:t>
      </w:r>
      <w:r>
        <w:fldChar w:fldCharType="end"/>
      </w:r>
      <w:r>
        <w:t xml:space="preserve">. </w:t>
      </w:r>
      <w:r w:rsidR="00895294">
        <w:t xml:space="preserve">Illustration of </w:t>
      </w:r>
      <w:r w:rsidR="00AC131A">
        <w:t xml:space="preserve">the </w:t>
      </w:r>
      <w:r w:rsidR="00895294">
        <w:t>indirect genomic mechanism of GCs</w:t>
      </w:r>
      <w:bookmarkEnd w:id="38"/>
    </w:p>
    <w:p w14:paraId="6C2DC754" w14:textId="682BB482" w:rsidR="00B50A64" w:rsidRDefault="007A4BA2" w:rsidP="006F7987">
      <w:pPr>
        <w:pStyle w:val="Heading4"/>
      </w:pPr>
      <w:bookmarkStart w:id="39" w:name="_Toc88218520"/>
      <w:r>
        <w:t>Non-Genomic</w:t>
      </w:r>
      <w:r w:rsidR="00B50A64">
        <w:t xml:space="preserve"> Mechanism of Action</w:t>
      </w:r>
      <w:bookmarkEnd w:id="39"/>
    </w:p>
    <w:p w14:paraId="56FEE858" w14:textId="582110FC" w:rsidR="00B00EEA" w:rsidRDefault="0091703C" w:rsidP="0091703C">
      <w:pPr>
        <w:pBdr>
          <w:top w:val="nil"/>
          <w:left w:val="nil"/>
          <w:bottom w:val="nil"/>
          <w:right w:val="nil"/>
          <w:between w:val="nil"/>
        </w:pBdr>
        <w:ind w:right="-15"/>
      </w:pPr>
      <w:r w:rsidRPr="000D12C7">
        <w:t>Non-genomic mechanisms of GCs are less understood but are believed to occur in the cytoplasm of cells and at cell and organelle membranes. The mitochondria is a cell organelle that produces adenosine triphosphate (ATP), a chemical that provides energy for critical cell processes like cytokine synthesis, migration,</w:t>
      </w:r>
      <w:r>
        <w:t xml:space="preserve"> and</w:t>
      </w:r>
      <w:r w:rsidRPr="000D12C7">
        <w:t xml:space="preserve"> phagocytosis.</w:t>
      </w:r>
      <w:r w:rsidRPr="000D12C7">
        <w:fldChar w:fldCharType="begin" w:fldLock="1"/>
      </w:r>
      <w:r w:rsidR="00DA7707">
        <w:instrText xml:space="preserve"> ADDIN ZOTERO_ITEM CSL_CITATION {"citationID":"OJCtbW2L","properties":{"formattedCitation":"\\super 127\\nosupersub{}","plainCitation":"127","noteIndex":0},"citationItems":[{"id":"cN3eXgV6/QD9Qe1g5","uris":["http://www.mendeley.com/documents/?uuid=107dba6c-7555-4d80-a1ba-ac54ca049742"],"uri":["http://www.mendeley.com/documents/?uuid=107dba6c-7555-4d80-a1ba-ac54ca049742"],"itemData":{"ISSN":"01675699","abstract":"Cellular energy metabolism is an important part of the background machinery that ensures proper function of immune cells. Here, Frank Buttgereit and colleagues describe the relationship between bioenergetics and immunity and discuss current therapeutic approaches for targeting crucial processes of energy metabolism in immune cells.","author":[{"dropping-particle":"","family":"Buttgereit","given":"Frank","non-dropping-particle":"","parse-names":false,"suffix":""},{"dropping-particle":"","family":"Burmester","given":"Gerd Rüdiger","non-dropping-particle":"","parse-names":false,"suffix":""},{"dropping-particle":"","family":"Brand","given":"Martin D.","non-dropping-particle":"","parse-names":false,"suffix":""}],"container-title":"Immunology Today","id":"ITEM-1","issued":{"date-parts":[["2000"]]},"title":"Bioenergetics of immune functions: Fundamental and therapeutic aspects","type":"article-journal"}}],"schema":"https://github.com/citation-style-language/schema/raw/master/csl-citation.json"} </w:instrText>
      </w:r>
      <w:r w:rsidRPr="000D12C7">
        <w:fldChar w:fldCharType="separate"/>
      </w:r>
      <w:r w:rsidR="00DA7707" w:rsidRPr="00DA7707">
        <w:rPr>
          <w:vertAlign w:val="superscript"/>
        </w:rPr>
        <w:t>127</w:t>
      </w:r>
      <w:r w:rsidRPr="000D12C7">
        <w:fldChar w:fldCharType="end"/>
      </w:r>
      <w:r w:rsidRPr="000D12C7">
        <w:t xml:space="preserve"> Glucocorticoids interact with the mitochondria</w:t>
      </w:r>
      <w:r>
        <w:t xml:space="preserve">l </w:t>
      </w:r>
      <w:r w:rsidRPr="000D12C7">
        <w:t>membrane to inhibit the metabolic process of ATP synthesis, thus suppressing immune cell processes essential for inflammation.</w:t>
      </w:r>
      <w:r w:rsidRPr="000D12C7">
        <w:fldChar w:fldCharType="begin" w:fldLock="1"/>
      </w:r>
      <w:r w:rsidR="00DA7707">
        <w:instrText xml:space="preserve"> ADDIN ZOTERO_ITEM CSL_CITATION {"citationID":"e5WUbkex","properties":{"formattedCitation":"\\super 128\\nosupersub{}","plainCitation":"128","noteIndex":0},"citationItems":[{"id":"cN3eXgV6/YJROHCNB","uris":["http://www.mendeley.com/documents/?uuid=a86e12f5-500e-4580-8914-cd6b46a36ae3"],"uri":["http://www.mendeley.com/documents/?uuid=a86e12f5-500e-4580-8914-cd6b46a36ae3"],"itemData":{"DOI":"10.1073/pnas.0812671106","ISSN":"00278424","abstract":"Glucocorticoids play an important biphasic role in modulating neural plasticity; low doses enhance neural plasticity and spatial memory behavior, whereas chronic, higher doses produce inhibition. We found that 3 independent measures of mitochondrial function-mitochondrial oxidation, membrane potential, and mitochondrial calcium holding capacity-were regulated by long-term corticosterone (CORT) treatment in an inverted \"U\"-shape. This regulation of mitochondrial function by CORT correlated with neuroprotection; that is, treatment with low doses of CORT had a neuroprotective effect, whereas treatment with high doses of CORT enhanced kainic acid (KA)-induced toxicity of cortical neurons. We then undertook experiments to elucidate the mechanisms underlying these biphasic effects and found that glucocorticoid receptors (GRs) formed a complex with the anti-apoptotic protein Bcl-2 in response to CORT treatment and translocated with Bcl-2 into mitochondria after acute treatment with low or high doses of CORT in primary cortical neurons. However, after 3 days of treatment, high, but not low, doses of CORT resulted in decreased GR and Bcl-2 levels in mitochondria. As with the in vitro studies, Bcl-2 levels in the mitochondria of the prefrontal cortex were significantly decreased, along with GR levels, after long-term treatment with high-dose CORT in vivo. These findings have the potential to contribute to a more complete understanding of the mechanisms by which glucocorticoids and chronic stress regulate cellular plasticity and resilience and to inform the future development of improved therapeutics.","author":[{"dropping-particle":"","family":"Du","given":"Jing","non-dropping-particle":"","parse-names":false,"suffix":""},{"dropping-particle":"","family":"Wang","given":"Yun","non-dropping-particle":"","parse-names":false,"suffix":""},{"dropping-particle":"","family":"Hunter","given":"Richard","non-dropping-particle":"","parse-names":false,"suffix":""},{"dropping-particle":"","family":"Wei","given":"Yanling","non-dropping-particle":"","parse-names":false,"suffix":""},{"dropping-particle":"","family":"Blumenthal","given":"Rayah","non-dropping-particle":"","parse-names":false,"suffix":""},{"dropping-particle":"","family":"Falke","given":"Cynthia","non-dropping-particle":"","parse-names":false,"suffix":""},{"dropping-particle":"","family":"Khairova","given":"Rushaniya","non-dropping-particle":"","parse-names":false,"suffix":""},{"dropping-particle":"","family":"Zhou","given":"Rulun","non-dropping-particle":"","parse-names":false,"suffix":""},{"dropping-particle":"","family":"Yuan","given":"Peixiong","non-dropping-particle":"","parse-names":false,"suffix":""},{"dropping-particle":"","family":"Machado-Vieira","given":"Rodrigo","non-dropping-particle":"","parse-names":false,"suffix":""},{"dropping-particle":"","family":"McEwen","given":"Bruce S.","non-dropping-particle":"","parse-names":false,"suffix":""},{"dropping-particle":"","family":"Manji","given":"Husseini K.","non-dropping-particle":"","parse-names":false,"suffix":""}],"container-title":"Proceedings of the National Academy of Sciences of the United States of America","id":"ITEM-1","issued":{"date-parts":[["2009"]]},"title":"Dynamic regulation of mitochondrial function by glucocorticoids","type":"article-journal"}}],"schema":"https://github.com/citation-style-language/schema/raw/master/csl-citation.json"} </w:instrText>
      </w:r>
      <w:r w:rsidRPr="000D12C7">
        <w:fldChar w:fldCharType="separate"/>
      </w:r>
      <w:r w:rsidR="00DA7707" w:rsidRPr="00DA7707">
        <w:rPr>
          <w:vertAlign w:val="superscript"/>
        </w:rPr>
        <w:t>128</w:t>
      </w:r>
      <w:r w:rsidRPr="000D12C7">
        <w:fldChar w:fldCharType="end"/>
      </w:r>
      <w:r w:rsidRPr="000D12C7">
        <w:t xml:space="preserve"> Cytosolic mechanisms of GCs involve </w:t>
      </w:r>
      <w:r>
        <w:t xml:space="preserve">the </w:t>
      </w:r>
      <w:r w:rsidRPr="000D12C7">
        <w:t>GC-G</w:t>
      </w:r>
      <w:r w:rsidR="00364207">
        <w:t>C</w:t>
      </w:r>
      <w:r w:rsidRPr="000D12C7">
        <w:t xml:space="preserve">R complex interfering with </w:t>
      </w:r>
      <w:r w:rsidR="00F03569">
        <w:t xml:space="preserve">the </w:t>
      </w:r>
      <w:r w:rsidRPr="000D12C7">
        <w:t>synthesis of arachidonic acid (AA), a substance essential for several inflammatory chemotactic reactions.</w:t>
      </w:r>
      <w:r w:rsidRPr="000D12C7">
        <w:fldChar w:fldCharType="begin" w:fldLock="1"/>
      </w:r>
      <w:r w:rsidR="00DA7707">
        <w:instrText xml:space="preserve"> ADDIN ZOTERO_ITEM CSL_CITATION {"citationID":"9FpiMxgP","properties":{"formattedCitation":"\\super 129\\nosupersub{}","plainCitation":"129","noteIndex":0},"citationItems":[{"id":"cN3eXgV6/euNNrggv","uris":["http://www.mendeley.com/documents/?uuid=38ab4f48-c7e9-3de6-a4e1-f3791684fae6"],"uri":["http://www.mendeley.com/documents/?uuid=38ab4f48-c7e9-3de6-a4e1-f3791684fae6"],"itemData":{"DOI":"10.1038/ncprheum0898","ISSN":"1745-8382","abstract":"Glucocorticoids are powerful and cost-effective drugs for the treatment of patients with rheumatic disease; however, currently available glucocorticoids have several adverse effects. This Review describes the genomic and nongenomic mechanisms of glucocorticoid action; detailed knowledge of these mechanisms is crucial for researchers to develop novel glucocorticoid receptor ligands and/or to further improve the use of currently available conventional glucocorticoids.","author":[{"dropping-particle":"","family":"Stahn","given":"Cindy","non-dropping-particle":"","parse-names":false,"suffix":""},{"dropping-particle":"","family":"Buttgereit","given":"Frank","non-dropping-particle":"","parse-names":false,"suffix":""}],"container-title":"Nature Clinical Practice Rheumatology","id":"ITEM-1","issue":"10","issued":{"date-parts":[["2008","10","2"]]},"page":"525-533","publisher":"Nature Publishing Group","title":"Genomic and nongenomic effects of glucocorticoids","type":"article-journal","volume":"4"}}],"schema":"https://github.com/citation-style-language/schema/raw/master/csl-citation.json"} </w:instrText>
      </w:r>
      <w:r w:rsidRPr="000D12C7">
        <w:fldChar w:fldCharType="separate"/>
      </w:r>
      <w:r w:rsidR="00DA7707" w:rsidRPr="00DA7707">
        <w:rPr>
          <w:vertAlign w:val="superscript"/>
        </w:rPr>
        <w:t>129</w:t>
      </w:r>
      <w:r w:rsidRPr="000D12C7">
        <w:fldChar w:fldCharType="end"/>
      </w:r>
      <w:r w:rsidRPr="000D12C7">
        <w:t xml:space="preserve"> This occurs by the GC-G</w:t>
      </w:r>
      <w:r w:rsidR="00364207">
        <w:t>C</w:t>
      </w:r>
      <w:r w:rsidRPr="000D12C7">
        <w:t xml:space="preserve">R complex inhibiting phospholipase A2 release </w:t>
      </w:r>
      <w:r>
        <w:t xml:space="preserve">of </w:t>
      </w:r>
      <w:r w:rsidRPr="000D12C7">
        <w:t>AA f</w:t>
      </w:r>
      <w:r>
        <w:t>ro</w:t>
      </w:r>
      <w:r w:rsidRPr="000D12C7">
        <w:t>m the cell membrane into the cytoplasm and inhibiting COX</w:t>
      </w:r>
      <w:r>
        <w:t>-</w:t>
      </w:r>
      <w:r w:rsidRPr="000D12C7">
        <w:t>2 from converting AA into inflammatory mediators</w:t>
      </w:r>
      <w:r>
        <w:t>,</w:t>
      </w:r>
      <w:r w:rsidRPr="000D12C7">
        <w:t xml:space="preserve"> such as prostaglandins and leukotrienes</w:t>
      </w:r>
      <w:r>
        <w:t xml:space="preserve"> (Figure</w:t>
      </w:r>
      <w:r w:rsidR="00DF528E">
        <w:t xml:space="preserve"> 9</w:t>
      </w:r>
      <w:r>
        <w:t>).</w:t>
      </w:r>
      <w:r w:rsidRPr="000D12C7">
        <w:fldChar w:fldCharType="begin" w:fldLock="1"/>
      </w:r>
      <w:r w:rsidR="00DA7707">
        <w:instrText xml:space="preserve"> ADDIN ZOTERO_ITEM CSL_CITATION {"citationID":"619cqbOa","properties":{"formattedCitation":"\\super 130\\nosupersub{}","plainCitation":"130","noteIndex":0},"citationItems":[{"id":"cN3eXgV6/JlAbyWh9","uris":["http://www.mendeley.com/documents/?uuid=07f6b790-0f2d-4bc0-badf-5bf3e93b221d"],"uri":["http://www.mendeley.com/documents/?uuid=07f6b790-0f2d-4bc0-badf-5bf3e93b221d"],"itemData":{"DOI":"10.1111/j.2042-3306.1984.tb01893.x","ISSN":"20423306","abstract":"Arachidonic acid is a polyunsaturated fatty acid covalently bound in esterified form in the cell membranes of most body cells. Following irritation or injury, arachidonic acid is released and oxygenated by enzyme systems leading to the formation of an important group of inflammatory mediators, the eicosanoids. It is now recognised that eicosanoid release is fundamental to the inflammatory process. For example, the prostaglandins and other prostanoids, products of the cyclooxygenase enzyme pathway, have potent inflammatory properties and prostaglandin E2 is readily detectable in equine acute inflammatory exudates. The administration of nonsteroidal anti-inflammatory drugs results in inhibition of prostaglandin synthesis and this explains the mode of action of agents such as phenylbutazone and flunixin. Lipoxygenase enzymes metabolise arachidonic acid to a group of noncyclised eicosanoids, the leukotrienes, some of which are also important inflammatory mediators. They are probably of particular importance in leucocyte-mediated aspects of chronic inflammation. Currently available non-steroidal anti-inflammatory drugs, however, do not inhibit lipoxygenase activity. In the light of recent evidence, the inflammatory process is re-examined and the important emerging roles of both cyclo-oxygenase and lipoxygenase derived eicosanoids are explored. The mode of action of current and future anti-inflammatory drugs offered to the equine clinician can be explained by their interference with arachidonic acid metabolism.","author":[{"dropping-particle":"","family":"Higgins","given":"A. J.","non-dropping-particle":"","parse-names":false,"suffix":""},{"dropping-particle":"","family":"Lees","given":"P.","non-dropping-particle":"","parse-names":false,"suffix":""}],"container-title":"Equine Veterinary Journal","id":"ITEM-1","issued":{"date-parts":[["1984"]]},"title":"The acute inflammatory process, arachidonic acid metabolism and the mode of action of anti‐inflammatory drugs","type":"article"}}],"schema":"https://github.com/citation-style-language/schema/raw/master/csl-citation.json"} </w:instrText>
      </w:r>
      <w:r w:rsidRPr="000D12C7">
        <w:fldChar w:fldCharType="separate"/>
      </w:r>
      <w:r w:rsidR="00DA7707" w:rsidRPr="00DA7707">
        <w:rPr>
          <w:vertAlign w:val="superscript"/>
        </w:rPr>
        <w:t>130</w:t>
      </w:r>
      <w:r w:rsidRPr="000D12C7">
        <w:fldChar w:fldCharType="end"/>
      </w:r>
    </w:p>
    <w:p w14:paraId="69493986" w14:textId="3930B2A8" w:rsidR="00B00EEA" w:rsidRDefault="00B00EEA" w:rsidP="0091703C">
      <w:pPr>
        <w:pBdr>
          <w:top w:val="nil"/>
          <w:left w:val="nil"/>
          <w:bottom w:val="nil"/>
          <w:right w:val="nil"/>
          <w:between w:val="nil"/>
        </w:pBdr>
        <w:ind w:right="-15"/>
      </w:pPr>
    </w:p>
    <w:p w14:paraId="5E051D42" w14:textId="77777777" w:rsidR="00124299" w:rsidRDefault="00124299" w:rsidP="00124299">
      <w:pPr>
        <w:keepNext/>
        <w:pBdr>
          <w:top w:val="nil"/>
          <w:left w:val="nil"/>
          <w:bottom w:val="nil"/>
          <w:right w:val="nil"/>
          <w:between w:val="nil"/>
        </w:pBdr>
        <w:ind w:right="-15" w:firstLine="0"/>
      </w:pPr>
      <w:r>
        <w:rPr>
          <w:noProof/>
        </w:rPr>
        <w:drawing>
          <wp:inline distT="0" distB="0" distL="0" distR="0" wp14:anchorId="7EB82EC3" wp14:editId="1D9B1DF2">
            <wp:extent cx="5907974" cy="3421187"/>
            <wp:effectExtent l="19050" t="19050" r="17145" b="273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22596" cy="3429654"/>
                    </a:xfrm>
                    <a:prstGeom prst="rect">
                      <a:avLst/>
                    </a:prstGeom>
                    <a:noFill/>
                    <a:ln>
                      <a:solidFill>
                        <a:schemeClr val="tx1"/>
                      </a:solidFill>
                    </a:ln>
                  </pic:spPr>
                </pic:pic>
              </a:graphicData>
            </a:graphic>
          </wp:inline>
        </w:drawing>
      </w:r>
    </w:p>
    <w:p w14:paraId="1C429CDE" w14:textId="18B4B5A9" w:rsidR="00B00EEA" w:rsidRDefault="00124299" w:rsidP="007124C7">
      <w:pPr>
        <w:pStyle w:val="Caption"/>
      </w:pPr>
      <w:bookmarkStart w:id="40" w:name="_Toc88218602"/>
      <w:r>
        <w:t xml:space="preserve">Figure </w:t>
      </w:r>
      <w:r>
        <w:fldChar w:fldCharType="begin"/>
      </w:r>
      <w:r>
        <w:instrText xml:space="preserve"> SEQ Figure \* ARABIC </w:instrText>
      </w:r>
      <w:r>
        <w:fldChar w:fldCharType="separate"/>
      </w:r>
      <w:r w:rsidR="00CD04FC">
        <w:t>9</w:t>
      </w:r>
      <w:r>
        <w:fldChar w:fldCharType="end"/>
      </w:r>
      <w:r>
        <w:t xml:space="preserve">. Illustration of </w:t>
      </w:r>
      <w:r w:rsidR="00AC131A">
        <w:t xml:space="preserve">the </w:t>
      </w:r>
      <w:r w:rsidR="007124C7">
        <w:t>non-</w:t>
      </w:r>
      <w:r>
        <w:t>genomic mechanism of GCs</w:t>
      </w:r>
      <w:r w:rsidR="00AD43D4">
        <w:t xml:space="preserve"> in the cell cytoplasm</w:t>
      </w:r>
      <w:bookmarkEnd w:id="40"/>
    </w:p>
    <w:p w14:paraId="2CE34556" w14:textId="431237D6" w:rsidR="00C1497A" w:rsidRDefault="0091703C" w:rsidP="0091703C">
      <w:pPr>
        <w:pBdr>
          <w:top w:val="nil"/>
          <w:left w:val="nil"/>
          <w:bottom w:val="nil"/>
          <w:right w:val="nil"/>
          <w:between w:val="nil"/>
        </w:pBdr>
        <w:ind w:right="-15"/>
      </w:pPr>
      <w:r w:rsidRPr="000D12C7">
        <w:t>Glucocorticoids also disrupt membrane</w:t>
      </w:r>
      <w:r>
        <w:t>-</w:t>
      </w:r>
      <w:r w:rsidRPr="000D12C7">
        <w:t xml:space="preserve">bound T-cell receptors (TCR) in T lymphocytes, </w:t>
      </w:r>
      <w:r>
        <w:t xml:space="preserve">which are </w:t>
      </w:r>
      <w:r w:rsidRPr="000D12C7">
        <w:t>immune cells responsible for pro-inflammatory cytokine production. T-</w:t>
      </w:r>
      <w:r>
        <w:t>c</w:t>
      </w:r>
      <w:r w:rsidRPr="000D12C7">
        <w:t>ell receptors recruit a multiprotein complex consisting of G</w:t>
      </w:r>
      <w:r w:rsidR="009C0A76">
        <w:t>C</w:t>
      </w:r>
      <w:r w:rsidRPr="000D12C7">
        <w:t xml:space="preserve">R, </w:t>
      </w:r>
      <w:r>
        <w:t>c</w:t>
      </w:r>
      <w:r w:rsidRPr="000D12C7">
        <w:t>haperone proteins, and lymphocyte-specific protein tyrosine kinase (LCK), which is critical for TCR signaling. Upon GC binding to the G</w:t>
      </w:r>
      <w:r w:rsidR="00F24CFD">
        <w:t>C</w:t>
      </w:r>
      <w:r w:rsidRPr="000D12C7">
        <w:t xml:space="preserve">R, the multiprotein complex dissociates, reducing </w:t>
      </w:r>
      <w:r>
        <w:t>LCK enzymatic activities</w:t>
      </w:r>
      <w:r w:rsidRPr="000D12C7">
        <w:t xml:space="preserve"> in the cytoplasm and impairing TCR signaling (</w:t>
      </w:r>
      <w:r>
        <w:t xml:space="preserve">Figure </w:t>
      </w:r>
      <w:r w:rsidR="007124C7">
        <w:t>10A-E</w:t>
      </w:r>
      <w:r w:rsidRPr="000D12C7">
        <w:t>).</w:t>
      </w:r>
      <w:r w:rsidRPr="000D12C7">
        <w:fldChar w:fldCharType="begin" w:fldLock="1"/>
      </w:r>
      <w:r w:rsidR="00DA7707">
        <w:instrText xml:space="preserve"> ADDIN ZOTERO_ITEM CSL_CITATION {"citationID":"fcTYYP61","properties":{"formattedCitation":"\\super 131\\nosupersub{}","plainCitation":"131","noteIndex":0},"citationItems":[{"id":"cN3eXgV6/xujGv5FR","uris":["http://www.mendeley.com/documents/?uuid=83f60050-eb9b-3930-b2de-fe7e22b71f21"],"uri":["http://www.mendeley.com/documents/?uuid=83f60050-eb9b-3930-b2de-fe7e22b71f21"],"itemData":{"DOI":"10.1038/sj.embor.7400775","ISSN":"1469-221X","PMID":"16888650","abstract":"Although glucocorticoid (GC)-induced nongenomic effects have been reported, the underlying mechanisms remain unexplained. We previously described that lymphocyte-specific protein tyrosine kinase (LCK) and FYN oncogene related to SRC, FGR, YES (FYN) mediate GC-induced inhibition of T-cell-receptor (TCR) signalling. Here we characterize the underlying molecular mechanism. The present study shows that the GC receptor is part of a TCR-linked multiprotein complex containing heat-shock protein (HSP)90, LCK and FYN, which is essential for TCR-dependent LCK/FYN activation. Experiments with cells transfected with GC-receptor short interfering RNA (siRNA) showed that the GC receptor is an essential component of the TCR signalling complex. Short-term GC treatment induces dissociation of this protein complex, resulting in impaired TCR signalling as a consequence of abrogated LCK/FYN activation. HSP90siRNA-transfected cells are not able to assemble this TCR-associated multiprotein complex, and accordingly HSP90siRNA treatment mimics GC effects on LCK/FYN activities. These observations support a model for nongenomic GC-induced immunosuppression on the basis of dissolution of membrane-bound GC-receptor multiprotein complexes after GC-receptor ligation.","author":[{"dropping-particle":"","family":"Löwenberg","given":"Mark","non-dropping-particle":"","parse-names":false,"suffix":""},{"dropping-particle":"","family":"Verhaar","given":"Auke P","non-dropping-particle":"","parse-names":false,"suffix":""},{"dropping-particle":"","family":"Bilderbeek","given":"Joyce","non-dropping-particle":"","parse-names":false,"suffix":""},{"dropping-particle":"van","family":"Marle","given":"Jan","non-dropping-particle":"","parse-names":false,"suffix":""},{"dropping-particle":"","family":"Buttgereit","given":"Frank","non-dropping-particle":"","parse-names":false,"suffix":""},{"dropping-particle":"","family":"Peppelenbosch","given":"Maikel P","non-dropping-particle":"","parse-names":false,"suffix":""},{"dropping-particle":"","family":"Deventer","given":"Sander J","non-dropping-particle":"van","parse-names":false,"suffix":""},{"dropping-particle":"","family":"Hommes","given":"Daniel W","non-dropping-particle":"","parse-names":false,"suffix":""}],"container-title":"EMBO reports","id":"ITEM-1","issue":"10","issued":{"date-parts":[["2006","10"]]},"page":"1023-9","publisher":"European Molecular Biology Organization","title":"Glucocorticoids cause rapid dissociation of a T-cell-receptor-associated protein complex containing LCK and FYN.","type":"article-journal","volume":"7"}}],"schema":"https://github.com/citation-style-language/schema/raw/master/csl-citation.json"} </w:instrText>
      </w:r>
      <w:r w:rsidRPr="000D12C7">
        <w:fldChar w:fldCharType="separate"/>
      </w:r>
      <w:r w:rsidR="00DA7707" w:rsidRPr="00DA7707">
        <w:rPr>
          <w:vertAlign w:val="superscript"/>
        </w:rPr>
        <w:t>131</w:t>
      </w:r>
      <w:r w:rsidRPr="000D12C7">
        <w:fldChar w:fldCharType="end"/>
      </w:r>
    </w:p>
    <w:p w14:paraId="47DFB88D" w14:textId="77777777" w:rsidR="00C1497A" w:rsidRDefault="00C1497A" w:rsidP="0091703C">
      <w:pPr>
        <w:pBdr>
          <w:top w:val="nil"/>
          <w:left w:val="nil"/>
          <w:bottom w:val="nil"/>
          <w:right w:val="nil"/>
          <w:between w:val="nil"/>
        </w:pBdr>
        <w:ind w:right="-15"/>
      </w:pPr>
    </w:p>
    <w:p w14:paraId="14E58062" w14:textId="77777777" w:rsidR="00C1497A" w:rsidRDefault="00C1497A" w:rsidP="00C1497A">
      <w:pPr>
        <w:keepNext/>
        <w:pBdr>
          <w:top w:val="nil"/>
          <w:left w:val="nil"/>
          <w:bottom w:val="nil"/>
          <w:right w:val="nil"/>
          <w:between w:val="nil"/>
        </w:pBdr>
        <w:ind w:right="-15" w:firstLine="0"/>
      </w:pPr>
      <w:r>
        <w:rPr>
          <w:noProof/>
        </w:rPr>
        <w:drawing>
          <wp:inline distT="0" distB="0" distL="0" distR="0" wp14:anchorId="06E8B4DF" wp14:editId="557111FB">
            <wp:extent cx="5934547" cy="3075305"/>
            <wp:effectExtent l="0" t="0" r="9525" b="0"/>
            <wp:docPr id="22" name="Picture 22" descr="Chart, funne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funnel chart&#10;&#10;Description automatically generated"/>
                    <pic:cNvPicPr>
                      <a:picLocks noChangeAspect="1" noChangeArrowheads="1"/>
                    </pic:cNvPicPr>
                  </pic:nvPicPr>
                  <pic:blipFill rotWithShape="1">
                    <a:blip r:embed="rId26">
                      <a:extLst>
                        <a:ext uri="{28A0092B-C50C-407E-A947-70E740481C1C}">
                          <a14:useLocalDpi xmlns:a14="http://schemas.microsoft.com/office/drawing/2010/main" val="0"/>
                        </a:ext>
                      </a:extLst>
                    </a:blip>
                    <a:srcRect r="341"/>
                    <a:stretch/>
                  </pic:blipFill>
                  <pic:spPr bwMode="auto">
                    <a:xfrm>
                      <a:off x="0" y="0"/>
                      <a:ext cx="5935327" cy="3075709"/>
                    </a:xfrm>
                    <a:prstGeom prst="rect">
                      <a:avLst/>
                    </a:prstGeom>
                    <a:noFill/>
                    <a:ln>
                      <a:noFill/>
                    </a:ln>
                    <a:extLst>
                      <a:ext uri="{53640926-AAD7-44D8-BBD7-CCE9431645EC}">
                        <a14:shadowObscured xmlns:a14="http://schemas.microsoft.com/office/drawing/2010/main"/>
                      </a:ext>
                    </a:extLst>
                  </pic:spPr>
                </pic:pic>
              </a:graphicData>
            </a:graphic>
          </wp:inline>
        </w:drawing>
      </w:r>
    </w:p>
    <w:p w14:paraId="6FB8C859" w14:textId="2695C131" w:rsidR="0091703C" w:rsidRPr="005511CD" w:rsidRDefault="00C1497A" w:rsidP="005511CD">
      <w:pPr>
        <w:pStyle w:val="Caption"/>
        <w:rPr>
          <w:b w:val="0"/>
          <w:bCs w:val="0"/>
          <w:sz w:val="24"/>
          <w:szCs w:val="24"/>
        </w:rPr>
      </w:pPr>
      <w:bookmarkStart w:id="41" w:name="_Toc88218603"/>
      <w:r>
        <w:t xml:space="preserve">Figure </w:t>
      </w:r>
      <w:r>
        <w:fldChar w:fldCharType="begin"/>
      </w:r>
      <w:r>
        <w:instrText xml:space="preserve"> SEQ Figure \* ARABIC </w:instrText>
      </w:r>
      <w:r>
        <w:fldChar w:fldCharType="separate"/>
      </w:r>
      <w:r w:rsidR="00CD04FC">
        <w:t>10</w:t>
      </w:r>
      <w:r>
        <w:fldChar w:fldCharType="end"/>
      </w:r>
      <w:r>
        <w:t xml:space="preserve">. Illustration </w:t>
      </w:r>
      <w:r w:rsidR="00AC131A">
        <w:t xml:space="preserve">of the </w:t>
      </w:r>
      <w:r>
        <w:t>non-genomic mechanism of GCs</w:t>
      </w:r>
      <w:r w:rsidR="00973EAE">
        <w:t xml:space="preserve"> in the cell membrane</w:t>
      </w:r>
      <w:bookmarkEnd w:id="41"/>
    </w:p>
    <w:p w14:paraId="3906D68B" w14:textId="05D53910" w:rsidR="008C24D0" w:rsidRDefault="00303EA2" w:rsidP="00AC131A">
      <w:pPr>
        <w:pStyle w:val="Heading3"/>
      </w:pPr>
      <w:bookmarkStart w:id="42" w:name="_Toc88218521"/>
      <w:r>
        <w:t xml:space="preserve">Effects of Glucocorticoids on </w:t>
      </w:r>
      <w:r w:rsidR="00126941">
        <w:t xml:space="preserve">the </w:t>
      </w:r>
      <w:r>
        <w:t>Vocal Fold</w:t>
      </w:r>
      <w:r w:rsidR="00126941">
        <w:t>s</w:t>
      </w:r>
      <w:r w:rsidR="00DE11A3">
        <w:t xml:space="preserve"> and Other</w:t>
      </w:r>
      <w:r>
        <w:t xml:space="preserve"> Tissue</w:t>
      </w:r>
      <w:bookmarkEnd w:id="42"/>
    </w:p>
    <w:p w14:paraId="263D06C0" w14:textId="49788D35" w:rsidR="001E2B27" w:rsidRDefault="001E2B27" w:rsidP="001E2B27">
      <w:pPr>
        <w:shd w:val="clear" w:color="auto" w:fill="FFFFFF"/>
        <w:rPr>
          <w:color w:val="000000" w:themeColor="text1"/>
        </w:rPr>
      </w:pPr>
      <w:r>
        <w:rPr>
          <w:color w:val="000000" w:themeColor="text1"/>
        </w:rPr>
        <w:t>G</w:t>
      </w:r>
      <w:r w:rsidRPr="007319ED">
        <w:rPr>
          <w:color w:val="000000" w:themeColor="text1"/>
        </w:rPr>
        <w:t>lucocorticoids have varying pharmacodynamic properties including differences in drug potency, duration, and mineralocorticoid activity</w:t>
      </w:r>
      <w:r w:rsidR="00E228DF">
        <w:rPr>
          <w:color w:val="000000" w:themeColor="text1"/>
        </w:rPr>
        <w:t xml:space="preserve"> (</w:t>
      </w:r>
      <w:r w:rsidR="005500C5">
        <w:rPr>
          <w:color w:val="000000" w:themeColor="text1"/>
        </w:rPr>
        <w:t>Table 2</w:t>
      </w:r>
      <w:r w:rsidR="00213225">
        <w:rPr>
          <w:color w:val="000000" w:themeColor="text1"/>
        </w:rPr>
        <w:t>)</w:t>
      </w:r>
      <w:r w:rsidRPr="007319ED">
        <w:rPr>
          <w:color w:val="000000" w:themeColor="text1"/>
        </w:rPr>
        <w:t xml:space="preserve"> with effects ranging from reduced angiogenesis (decrease blood vessel production),</w:t>
      </w:r>
      <w:r w:rsidRPr="007319ED">
        <w:t xml:space="preserve"> changes in epithelial/endothelial barrier integrity, reduced therapeutic effect after long-term use, and </w:t>
      </w:r>
      <w:r w:rsidRPr="007319ED">
        <w:rPr>
          <w:color w:val="000000" w:themeColor="text1"/>
        </w:rPr>
        <w:t xml:space="preserve">skeletal muscle </w:t>
      </w:r>
      <w:r>
        <w:rPr>
          <w:color w:val="000000" w:themeColor="text1"/>
        </w:rPr>
        <w:t>atrophy</w:t>
      </w:r>
      <w:r w:rsidRPr="007319ED">
        <w:rPr>
          <w:color w:val="000000" w:themeColor="text1"/>
        </w:rPr>
        <w:t xml:space="preserve">. </w:t>
      </w:r>
      <w:r w:rsidRPr="007319ED">
        <w:t>For example, studie</w:t>
      </w:r>
      <w:r>
        <w:t>s of</w:t>
      </w:r>
      <w:r w:rsidRPr="007319ED">
        <w:rPr>
          <w:color w:val="000000" w:themeColor="text1"/>
        </w:rPr>
        <w:t xml:space="preserve"> prednisolone</w:t>
      </w:r>
      <w:r>
        <w:rPr>
          <w:color w:val="000000" w:themeColor="text1"/>
        </w:rPr>
        <w:t xml:space="preserve"> treatment </w:t>
      </w:r>
      <w:r w:rsidRPr="007319ED">
        <w:t>in</w:t>
      </w:r>
      <w:r>
        <w:t xml:space="preserve"> a</w:t>
      </w:r>
      <w:r w:rsidRPr="007319ED">
        <w:t xml:space="preserve"> </w:t>
      </w:r>
      <w:r>
        <w:rPr>
          <w:color w:val="000000" w:themeColor="text1"/>
        </w:rPr>
        <w:t>juvenile porcine</w:t>
      </w:r>
      <w:r w:rsidRPr="007319ED">
        <w:rPr>
          <w:color w:val="000000" w:themeColor="text1"/>
        </w:rPr>
        <w:t xml:space="preserve"> </w:t>
      </w:r>
      <w:r>
        <w:rPr>
          <w:color w:val="000000" w:themeColor="text1"/>
        </w:rPr>
        <w:t xml:space="preserve">model observed </w:t>
      </w:r>
      <w:r w:rsidRPr="007319ED">
        <w:rPr>
          <w:color w:val="000000" w:themeColor="text1"/>
        </w:rPr>
        <w:t>fewer</w:t>
      </w:r>
      <w:r>
        <w:rPr>
          <w:color w:val="000000" w:themeColor="text1"/>
        </w:rPr>
        <w:t xml:space="preserve"> and disorganized</w:t>
      </w:r>
      <w:r w:rsidRPr="007319ED">
        <w:rPr>
          <w:color w:val="000000" w:themeColor="text1"/>
        </w:rPr>
        <w:t xml:space="preserve"> capillaries </w:t>
      </w:r>
      <w:r>
        <w:rPr>
          <w:color w:val="000000" w:themeColor="text1"/>
        </w:rPr>
        <w:t>in</w:t>
      </w:r>
      <w:r w:rsidRPr="007319ED">
        <w:rPr>
          <w:color w:val="000000" w:themeColor="text1"/>
        </w:rPr>
        <w:t xml:space="preserve"> ti</w:t>
      </w:r>
      <w:r>
        <w:rPr>
          <w:color w:val="000000" w:themeColor="text1"/>
        </w:rPr>
        <w:t>bi</w:t>
      </w:r>
      <w:r w:rsidRPr="007319ED">
        <w:rPr>
          <w:color w:val="000000" w:themeColor="text1"/>
        </w:rPr>
        <w:t>a growth plates.</w:t>
      </w:r>
      <w:r w:rsidRPr="007319ED">
        <w:rPr>
          <w:color w:val="000000" w:themeColor="text1"/>
        </w:rPr>
        <w:fldChar w:fldCharType="begin"/>
      </w:r>
      <w:r w:rsidR="00DA7707">
        <w:rPr>
          <w:color w:val="000000" w:themeColor="text1"/>
        </w:rPr>
        <w:instrText xml:space="preserve"> ADDIN ZOTERO_ITEM CSL_CITATION {"citationID":"WZI4iOwi","properties":{"formattedCitation":"\\super 132\\nosupersub{}","plainCitation":"132","noteIndex":0},"citationItems":[{"id":1983,"uris":["http://zotero.org/users/6281125/items/YY8BLQKK"],"uri":["http://zotero.org/users/6281125/items/YY8BLQKK"],"itemData":{"id":1983,"type":"article-journal","abstract":"Objective: Glucocorticoid treatment of children often leads to growth retardation, and the precise target(s) in the growth plate responsible for this effect are unknown. Angiogenesis is an important part of the endochondral ossification process, and VEGF expressed in the growth plate is essential for proper angiogenesis to occur. Since glucocorticoid treatment down-regulates VEGF expression in cultured chondrocytes, we hypothesized that in vivo glucocorticoid treatment could result in VEGF down-regulation in the growth plate and disturbed angiogenesis, thus contributing to the growth retardation. Design: We treated 6-week-old prepubertal piglets (10kg) for 5 days with prednisolone (50mg/day). Tibial growth plate sections were studied for apoptosis and the expression of VEGF protein and mRNA and MMP-9 protein. Capillaries in the metaphysis were visualized by CD31 immunostaining. Growth plate morphology (width of various zones) was determined by interactive measurements on hematoxylin/eosin stained sections and apoptotic cells were detected by TUNEL assay. Results: In the prednisolone-treated animals, the total width of the growth plate decreased to 81% of controls (P&lt;0.02), which was explained by a decrease of the width of the proliferative zone to 73% (P&lt;0.05). The treatment had no effect on the orderly organization of the chondrocyte columns. In the growth plates of control animals, apoptosis was shown in 5.8% of the hypertrophic chondrocytes and was limited to the terminal hypertrophic chondrocytes. In prednisolone-treated animals, 40.5% of the hypertrophic chondrocytes was apoptotic (P&lt;0.02), with apoptotic chondrocytes also appearing higher in the hypertrophic zone. We observed fewer capillaries and loss of their parallel organization in the metaphysis in the prednisolone-treated animals. The capillaries were shorter and chaotic in appearance. In contrast to controls, in prednisolone-treated animals VEGF mRNA and protein could not be detected in the hypertrophic zone of the growth plate. Trabecular bone length in the primary spongiosa was also diminished by the treatment. No changes were observed in the expression pattern of MMP-9, a matrix metalloproteinase, which is also important for angiogenesis and bone formation. Conclusions: These results indicate that short-term glucocorticoid treatment of growing piglets severely disturbs the width of the growth plate, apoptosis of chondrocytes, VEGF expression by hypertrophic chondrocytes, the normal invasion of blood vessels from the metaphysis to the growth plate and bone formation at the chondro-osseous junction. These effects could alter the dynamics of endochondral ossification and thus contribute to glucocorticoid-induced growth retardation.","container-title":"Osteoarthritis and Cartilage","DOI":"10.1016/S1063-4584(03)00187-0","ISSN":"1063-4584","issue":"12","journalAbbreviation":"Osteoarthritis and Cartilage","language":"en","page":"864-871","source":"ScienceDirect","title":"Short-term glucocorticoid treatment of piglets causes changes in growth plate morphology and angiogenesis","volume":"11","author":[{"family":"Smink","given":"J. J"},{"family":"Buchholz","given":"I. M"},{"family":"Hamers","given":"N"},{"family":"Tilburg","given":"C. M","non-dropping-particle":"van"},{"family":"Christis","given":"C"},{"family":"Sakkers","given":"R. J. B"},{"family":"Meer","given":"K","non-dropping-particle":"de"},{"family":"Buul-Offers","given":"S. C","non-dropping-particle":"van"},{"family":"Koedam","given":"J. A"}],"issued":{"date-parts":[["2003",12,1]]}}}],"schema":"https://github.com/citation-style-language/schema/raw/master/csl-citation.json"} </w:instrText>
      </w:r>
      <w:r w:rsidRPr="007319ED">
        <w:rPr>
          <w:color w:val="000000" w:themeColor="text1"/>
        </w:rPr>
        <w:fldChar w:fldCharType="separate"/>
      </w:r>
      <w:r w:rsidR="00DA7707" w:rsidRPr="00DA7707">
        <w:rPr>
          <w:vertAlign w:val="superscript"/>
        </w:rPr>
        <w:t>132</w:t>
      </w:r>
      <w:r w:rsidRPr="007319ED">
        <w:rPr>
          <w:color w:val="000000" w:themeColor="text1"/>
        </w:rPr>
        <w:fldChar w:fldCharType="end"/>
      </w:r>
      <w:r>
        <w:rPr>
          <w:color w:val="000000" w:themeColor="text1"/>
        </w:rPr>
        <w:t xml:space="preserve"> </w:t>
      </w:r>
      <w:r w:rsidRPr="007319ED">
        <w:rPr>
          <w:color w:val="000000" w:themeColor="text1"/>
        </w:rPr>
        <w:t>Similar</w:t>
      </w:r>
      <w:r>
        <w:rPr>
          <w:color w:val="000000" w:themeColor="text1"/>
        </w:rPr>
        <w:t>ly,</w:t>
      </w:r>
      <w:r w:rsidRPr="007319ED">
        <w:rPr>
          <w:color w:val="000000" w:themeColor="text1"/>
        </w:rPr>
        <w:t xml:space="preserve"> capillary shrinkage</w:t>
      </w:r>
      <w:r>
        <w:rPr>
          <w:color w:val="000000" w:themeColor="text1"/>
        </w:rPr>
        <w:t xml:space="preserve"> occurred </w:t>
      </w:r>
      <w:r w:rsidRPr="007319ED">
        <w:rPr>
          <w:color w:val="000000" w:themeColor="text1"/>
        </w:rPr>
        <w:t>in cultured bone endothelial cells after hydrocortisone treatment</w:t>
      </w:r>
      <w:r w:rsidRPr="007319ED">
        <w:rPr>
          <w:color w:val="000000" w:themeColor="text1"/>
          <w:highlight w:val="yellow"/>
        </w:rPr>
        <w:fldChar w:fldCharType="begin"/>
      </w:r>
      <w:r w:rsidR="00DA7707">
        <w:rPr>
          <w:color w:val="000000" w:themeColor="text1"/>
          <w:highlight w:val="yellow"/>
        </w:rPr>
        <w:instrText xml:space="preserve"> ADDIN ZOTERO_ITEM CSL_CITATION {"citationID":"pd97CpAa","properties":{"formattedCitation":"\\super 133\\nosupersub{}","plainCitation":"133","noteIndex":0},"citationItems":[{"id":1989,"uris":["http://zotero.org/users/6281125/items/MBXJDZSA"],"uri":["http://zotero.org/users/6281125/items/MBXJDZSA"],"itemData":{"id":1989,"type":"article-journal","abstract":"BACKGROUND: The pathogenesis of glucocorticoid (GC)-induced osteonecrosis (ON) of the femoral head remains unclear. Recent research has suggested that it is closely associated with injured bone microvascular endothelial cells (BMECs). However, few studies have used BMECs to perform research pertaining ON of the femoral head.\nOBJECTIVES: The objective of this study was to investigate the functional changes of BMECs treated with a GC and to detect the changes in related genes using microarrays.\nMATERIAL AND METHODS: Cells were isolated using an enzymatic method and identified with EC markers, such as von Willebrand factor (vWF), CD31 and vascular endothelial cadherin (VE-cadherin). Bone microvascular endothelial cells were treated with 0.1 mg/mL and 0.3 mg/mL of hydrocortisone to establish a GC-damaged model of BMECs. The mRNA microarrays were used to detect the differential expression profiles between BMECs with and without GC damage.\nRESULTS: Primary cells appeared as having a cobblestone-like morphology. Immunofluorescence staining revealed that the cells were 100% positive for vWF and CD31, and near 100% positive for VE-cadherin. It also confirmed that the cells were BMECs. Bone microvascular endothelial cells treated with 0.1 mg/mL of hydrocortisone showed shrinkage, and those treated with 0.3 mg/mL of hydrocortisone mostly showed apoptosis. The mRNA microarray showed that genes associated with endothelial cells, such as endothelin 1 (ET-1) receptor, angiotensin II (AII) receptor, intercellular adhesion molecule 1 (ICAM-1), and plasminogen activator inhibitor 1 (PAI-1), were upregulated, and genes associated with endothelial nitric oxide synthase (eNOS), endothelin 1 (ET-1), prostaglandin I2 (PGI2) synthase, PGI2 receptor, vascular endothelial growth factor (VEGF), prostaglandin E (PGE) synthase, and PGE receptor were downregulated. The results of quantitative polymerase chain reaction (qPCR) validation were consistent with the findings of mRNA microarrays.\nCONCLUSIONS: Glucocorticoids promoted BMECs to express vasoconstrictors and procoagulant factors and related receptors, and decreased the expression of vasodilators and their receptors.","container-title":"Advances in Clinical and Experimental Medicine: Official Organ Wroclaw Medical University","DOI":"10.17219/acem/112602","ISSN":"1899-5276","issue":"3","journalAbbreviation":"Adv Clin Exp Med","language":"eng","note":"PMID: 32237286","page":"345-353","source":"PubMed","title":"Effect of glucocorticoids on the function of microvascular endothelial cells in the human femoral head bone","volume":"29","author":[{"family":"Lu","given":"Yufeng"},{"family":"Yu","given":"Qingsheng"},{"family":"Guo","given":"Wanshou"},{"family":"Hao","given":"Yangquan"},{"family":"Sun","given":"Wei"},{"family":"Cheng","given":"Liming"}],"issued":{"date-parts":[["2020",3]]}}}],"schema":"https://github.com/citation-style-language/schema/raw/master/csl-citation.json"} </w:instrText>
      </w:r>
      <w:r w:rsidRPr="007319ED">
        <w:rPr>
          <w:color w:val="000000" w:themeColor="text1"/>
          <w:highlight w:val="yellow"/>
        </w:rPr>
        <w:fldChar w:fldCharType="separate"/>
      </w:r>
      <w:r w:rsidR="00DA7707" w:rsidRPr="00DA7707">
        <w:rPr>
          <w:vertAlign w:val="superscript"/>
        </w:rPr>
        <w:t>133</w:t>
      </w:r>
      <w:r w:rsidRPr="007319ED">
        <w:rPr>
          <w:color w:val="000000" w:themeColor="text1"/>
          <w:highlight w:val="yellow"/>
        </w:rPr>
        <w:fldChar w:fldCharType="end"/>
      </w:r>
      <w:r>
        <w:rPr>
          <w:color w:val="000000" w:themeColor="text1"/>
        </w:rPr>
        <w:t xml:space="preserve"> as well as reduced endothelial proliferation and capillary density in rabbit and human brain tissue </w:t>
      </w:r>
      <w:r w:rsidRPr="007319ED">
        <w:rPr>
          <w:color w:val="000000" w:themeColor="text1"/>
        </w:rPr>
        <w:t>after betamethasone treatment.</w:t>
      </w:r>
      <w:r w:rsidRPr="007319ED">
        <w:rPr>
          <w:color w:val="000000" w:themeColor="text1"/>
          <w:highlight w:val="yellow"/>
        </w:rPr>
        <w:fldChar w:fldCharType="begin"/>
      </w:r>
      <w:r w:rsidR="00DA7707">
        <w:rPr>
          <w:color w:val="000000" w:themeColor="text1"/>
          <w:highlight w:val="yellow"/>
        </w:rPr>
        <w:instrText xml:space="preserve"> ADDIN ZOTERO_ITEM CSL_CITATION {"citationID":"al7OePeJ","properties":{"formattedCitation":"\\super 134\\nosupersub{}","plainCitation":"134","noteIndex":0},"citationItems":[{"id":1986,"uris":["http://zotero.org/users/6281125/items/F2I4SNJ6"],"uri":["http://zotero.org/users/6281125/items/F2I4SNJ6"],"itemData":{"id":1986,"type":"article-journal","abstract":"Background and Purpose\nPrenatal glucocorticoids prevent germinal matrix hemorrhage in premature infants. The underlying mechanism, however, is elusive. Germinal matrix (GM) is enriched with angiogenic vessels exhibiting paucity of pericytes and GFAP-positive astrocye endfeet. Therefore, we asked whether glucocorticoid treatment would suppress angiogenesis, and enhance periendothelial coverage by pericytes and GFAP-positive endfeet in the GM microvasculature.\n\nMethods\nWe treated pregnant rabbits with intramuscular betamethasone and delivered pups prematurely by C-section at E29 (Term=32d). Endothelial turnover, vascular density, pericyte coverage, GFAP-positive endfeet, cell-death and growth factors orchestrating angiogenesis, including vascular endothelial growth factor (VEGF), angiopoietins, transforming growth factor-β (TGF-β), platelet derived growth factor-B(PDGF-B), were compared between betamethasone-treated and untreated pups. Similar comparisons were done between autopsy-materials from premature infants exposed and unexposed to prenatal glucocorticoids.\n\nResults\nAntenatal glucocorticoid treatment reduced endothelial proliferation, vascular density and VEGF expression in the GM of both rabbits and humans. The pericyte coverage was greater in glucocorticoid-treated rabbit pups and human infants than in controls, but not the GFAP(+) endfeet coverage. TGF-β, but not angiopoietins and PDGF-B, were elevated in glucocorticoid-treated rabbit pups compared to controls. Betamethasone treatment induced apoptosis, neuronal degeneration and gliosis in rabbits pups. However, there was no evidence of increased cell-death in glucocorticoid-exposed human infants.\n\nConclusions\nPrenatal glucocortiocoid suppresses VEGF and elevates TGF-β levels, which results in angiogenic inhibition, trimming of neovasculature and enhanced pericyte coverage. These changes contribute to stabilizing the GM vasculature, thereby reducing its propensity to hemorrhage. Prenatal glucocorticoid exposure does not induce neural cell-death in humans, unlike rabbits.","container-title":"Stroke; a journal of cerebral circulation","DOI":"10.1161/STROKEAHA.110.588400","ISSN":"0039-2499","issue":"8","journalAbbreviation":"Stroke","note":"PMID: 20616316\nPMCID: PMC2920046","page":"1766-1773","source":"PubMed Central","title":"Effect of Prenatal Glucocorticoids on Cerebral Vasculature of the Developing Brain","volume":"41","author":[{"family":"Vinukonda","given":"Govindaiah"},{"family":"Dummula","given":"Krishna"},{"family":"Malik","given":"Sabrina"},{"family":"Hu","given":"Furong"},{"family":"Thompson","given":"Carl I."},{"family":"Csiszar","given":"Anna"},{"family":"Ungvari","given":"Zoltan"},{"family":"Ballabh","given":"Praveen"}],"issued":{"date-parts":[["2010",8]]}}}],"schema":"https://github.com/citation-style-language/schema/raw/master/csl-citation.json"} </w:instrText>
      </w:r>
      <w:r w:rsidRPr="007319ED">
        <w:rPr>
          <w:color w:val="000000" w:themeColor="text1"/>
          <w:highlight w:val="yellow"/>
        </w:rPr>
        <w:fldChar w:fldCharType="separate"/>
      </w:r>
      <w:r w:rsidR="00DA7707" w:rsidRPr="00DA7707">
        <w:rPr>
          <w:vertAlign w:val="superscript"/>
        </w:rPr>
        <w:t>134</w:t>
      </w:r>
      <w:r w:rsidRPr="007319ED">
        <w:rPr>
          <w:color w:val="000000" w:themeColor="text1"/>
          <w:highlight w:val="yellow"/>
        </w:rPr>
        <w:fldChar w:fldCharType="end"/>
      </w:r>
      <w:r>
        <w:rPr>
          <w:color w:val="000000" w:themeColor="text1"/>
        </w:rPr>
        <w:t xml:space="preserve"> In airway tissue, the number of vessels in bronchial biopsies decreased after 6</w:t>
      </w:r>
      <w:r w:rsidR="000C4B07">
        <w:rPr>
          <w:color w:val="000000" w:themeColor="text1"/>
        </w:rPr>
        <w:t>-</w:t>
      </w:r>
      <w:r>
        <w:rPr>
          <w:color w:val="000000" w:themeColor="text1"/>
        </w:rPr>
        <w:t xml:space="preserve">weeks of high dose </w:t>
      </w:r>
      <w:r w:rsidR="00A74AAA">
        <w:rPr>
          <w:color w:val="000000" w:themeColor="text1"/>
        </w:rPr>
        <w:t>f</w:t>
      </w:r>
      <w:r w:rsidRPr="00CC3AB6">
        <w:rPr>
          <w:color w:val="000000" w:themeColor="text1"/>
        </w:rPr>
        <w:t>luticasone propionate</w:t>
      </w:r>
      <w:r>
        <w:rPr>
          <w:color w:val="000000" w:themeColor="text1"/>
        </w:rPr>
        <w:t>.</w:t>
      </w:r>
      <w:r>
        <w:rPr>
          <w:color w:val="000000" w:themeColor="text1"/>
        </w:rPr>
        <w:fldChar w:fldCharType="begin"/>
      </w:r>
      <w:r w:rsidR="00DA7707">
        <w:rPr>
          <w:color w:val="000000" w:themeColor="text1"/>
        </w:rPr>
        <w:instrText xml:space="preserve"> ADDIN ZOTERO_ITEM CSL_CITATION {"citationID":"RELYi5fW","properties":{"formattedCitation":"\\super 135\\nosupersub{}","plainCitation":"135","noteIndex":0},"citationItems":[{"id":2580,"uris":["http://zotero.org/users/6281125/items/T6DE6VI3"],"uri":["http://zotero.org/users/6281125/items/T6DE6VI3"],"itemData":{"id":2580,"type":"article-journal","container-title":"American Journal of Respiratory and Critical Care Medicine","DOI":"10.1164/rccm.200207-710OC","ISSN":"1073-449X, 1535-4970","issue":"5","journalAbbreviation":"Am J Respir Crit Care Med","language":"en","page":"751-757","source":"DOI.org (Crossref)","title":"Vascular Component of Airway Remodeling in Asthma Is Reduced by High Dose of Fluticasone","volume":"167","author":[{"family":"Chetta","given":"Alfredo"},{"family":"Zanini","given":"Andrea"},{"family":"Foresi","given":"Antonio"},{"family":"Del Donno","given":"Mario"},{"family":"Castagnaro","given":"Antonio"},{"family":"D'Ippolito","given":"Raffaele"},{"family":"Baraldo","given":"Simonetta"},{"family":"Testi","given":"Renato"},{"family":"Saetta","given":"Marina"},{"family":"Olivieri","given":"Dario"}],"issued":{"date-parts":[["2003",3]]}}}],"schema":"https://github.com/citation-style-language/schema/raw/master/csl-citation.json"} </w:instrText>
      </w:r>
      <w:r>
        <w:rPr>
          <w:color w:val="000000" w:themeColor="text1"/>
        </w:rPr>
        <w:fldChar w:fldCharType="separate"/>
      </w:r>
      <w:r w:rsidR="00DA7707" w:rsidRPr="00DA7707">
        <w:rPr>
          <w:vertAlign w:val="superscript"/>
        </w:rPr>
        <w:t>135</w:t>
      </w:r>
      <w:r>
        <w:rPr>
          <w:color w:val="000000" w:themeColor="text1"/>
        </w:rPr>
        <w:fldChar w:fldCharType="end"/>
      </w:r>
    </w:p>
    <w:p w14:paraId="0E38B850" w14:textId="6800AABD" w:rsidR="001E2B27" w:rsidRDefault="001E2B27" w:rsidP="001E2B27">
      <w:pPr>
        <w:shd w:val="clear" w:color="auto" w:fill="FFFFFF"/>
        <w:rPr>
          <w:color w:val="000000" w:themeColor="text1"/>
        </w:rPr>
      </w:pPr>
      <w:r>
        <w:rPr>
          <w:color w:val="000000" w:themeColor="text1"/>
        </w:rPr>
        <w:t>Long-term cortisol treatment has also been observed to reduce epidermal barrier function in human</w:t>
      </w:r>
      <w:r>
        <w:rPr>
          <w:color w:val="000000" w:themeColor="text1"/>
        </w:rPr>
        <w:fldChar w:fldCharType="begin"/>
      </w:r>
      <w:r w:rsidR="00DA7707">
        <w:rPr>
          <w:color w:val="000000" w:themeColor="text1"/>
        </w:rPr>
        <w:instrText xml:space="preserve"> ADDIN ZOTERO_ITEM CSL_CITATION {"citationID":"dm1LOqSq","properties":{"formattedCitation":"\\super 136,137\\nosupersub{}","plainCitation":"136,137","noteIndex":0},"citationItems":[{"id":1672,"uris":["http://zotero.org/groups/2479328/items/UIM4AZ68"],"uri":["http://zotero.org/groups/2479328/items/UIM4AZ68"],"itemData":{"id":1672,"type":"article-journal","abstract":"&lt;p&gt;Prolonged exposure of human epidermis to excess endogenous or exogenous glucocorticoids can result in well-recognized cutaneous abnormalities. Here, we determined whether short-term glucocorticoid treatment would also display adverse effects, specifically on two key epidermal functions, permeability barrier homeostasis and stratum corneum integrity and cohesion, and the basis for such changes. In humans 3d of treatment with a potent, commonly employed topical glucocorticoid (clobetasol), applied topically, produced a deterioration in barrier homeostasis, characterized by delayed barrier recovery and abnormal stratum corneum integrity (rate of barrier disruption with tape strippings) and stratum corneum cohesion (μg protein removed per stripping). Short-term systemic and topical glucocorticoid produced similar functional defects in mice, where the basis for these abnormalities was explored further. Both the production and secretion of lamellar bodies were profoundly decreased in topical glucocorticoid-treated mice resulting in decreased extracellular lamellar bilayers. These structural changes, in turn, were attributable to a profound global inhibition of lipid synthesis, demonstrated both in epidermis and in cultured human keratinocytes. The basis for the abnormality in stratum corneum integrity and cohesion was a diminution in the density of corneodesmosomes in the lower stratum corneum. We next performed topical replacement studies to determine whether lipid deficiency accounts for the glucocorticoid-induced functional abnormalities. The abnormalities in both permeability barrier homeostasis and stratum corneum integrity were corrected by topical applications of an equimolar distribution of free fatty acids, cholesterol, and ceramides, indicating that glucocorticoid-induced inhibition of epidermal lipid synthesis accounts for the derangements in both cutaneous barrier function and stratum corneum integrity/cohesion. These studies indicate that even short-term exposure to potent glucocorticosteroids can exert profound negative effects on cutaneous structure and function. Finally, topical replenishment with epidermal physiologic lipids could represent a potential method to reduce the adverse cutaneous effects of both topical glucocorticoid treatment and Cushing's syndrome.&lt;/p&gt;","container-title":"Journal of Investigative Dermatology","DOI":"10.1046/j.1523-1747.2003.12053.x","ISSN":"0022-202X, 1523-1747","issue":"3","journalAbbreviation":"J Invest Dermatol","language":"English","page":"456-464","source":"www.jidonline.org","title":"Short-Term Glucocorticoid Treatment Compromises Both Permeability Barrier Homeostasis and Stratum Corneum Integrity: Inhibition of Epidermal Lipid Synthesis Accounts for Functional Abnormalities","title-short":"Short-Term Glucocorticoid Treatment Compromises Both Permeability Barrier Homeostasis and Stratum Corneum Integrity","volume":"120","author":[{"family":"Kao","given":"Jack S."},{"family":"Fluhr","given":"Joachim W."},{"family":"Man","given":"Mao-Qiang"},{"family":"Fowler","given":"Ashley J."},{"family":"Hachem","given":"Jean-Pierre"},{"family":"Crumrine","given":"Debra"},{"family":"Ahn","given":"Sung K."},{"family":"Brown","given":"Barbara E."},{"family":"Elias","given":"Peter M."},{"family":"Feingold","given":"Kenneth R."}],"issued":{"date-parts":[["2003",3,1]]}}},{"id":2548,"uris":["http://zotero.org/users/6281125/items/LAGWEE3J"],"uri":["http://zotero.org/users/6281125/items/LAGWEE3J"],"itemData":{"id":2548,"type":"article-journal","abstract":"The intercellular lipid lamellae of the stratum corneum (SC) is believed to provide the permeability barrier of the epidermis. Previous functional studies have demonstrated an increase in the transepidermal water loss (TEWL) after long-term use of topical corticosteroids (TCS); however, direct morphological confirmation of this barrier abnormality is still lacking. The aim of this study was to determine whether any abnormality could be detected in the structure of the SC intercellular lipid lamellae in patients after long-term TCS. Atrophic skin and untreated normal skin of 10 patients after long-term TCS were examined by transmission electron microscopy using ruthenium tetroxide- fixed tissue for the multilamellar lipid sheets of SC, and oil red O stain for neutral lipids of the SC. Layers of the SC were evaluated by 0·1% methylene blue stain after alkaline expansion, and TEWL was measured by Evaporimeter EPI. The TCS-treated atrophic skin had fewer layers of horny cells, mean 9–4 layers, than the normal control skin, 18 layers (P&lt;0·001) and increased TEWL of 21·3g/m2 compared with the control skin TEWL of 6·7 g/m2(P&lt;0·01). The mean neutral lipid content of the SC was also significantly lower (P&lt;0·001). Moreover, ultrastructural studies revealed a marked decrease in both the numbers of intercellular lipid lamellae of SC and membrane-coating granules of stratum granulosum in the atrophic skin. These results suggest that the diminution in the SC intercellular lipid lamellae and SC cell layers play an important part in the pathogenesis of barrier dysfunction after long-term use of TCS.","container-title":"British Journal of Dermatology","DOI":"10.1046/j.1365-2133.1997.01827.x","ISSN":"1365-2133","issue":"6","language":"en","note":"_eprint: https://onlinelibrary.wiley.com/doi/pdf/10.1046/j.1365-2133.1997.01827.x","page":"884-890","source":"Wiley Online Library","title":"Depletion of stratum corneum intercellular lipid lamellae and barrier function abnormalities after long-term topical corticosteroids","volume":"136","author":[{"family":"Sheu","given":"H.-M."},{"family":"Lee","given":"J. Y.-Y."},{"family":"Chai","given":"C.-Y."},{"family":"Kuo","given":"K.-W."}],"issued":{"date-parts":[["1997"]]}}}],"schema":"https://github.com/citation-style-language/schema/raw/master/csl-citation.json"} </w:instrText>
      </w:r>
      <w:r>
        <w:rPr>
          <w:color w:val="000000" w:themeColor="text1"/>
        </w:rPr>
        <w:fldChar w:fldCharType="separate"/>
      </w:r>
      <w:r w:rsidR="00DA7707" w:rsidRPr="00DA7707">
        <w:rPr>
          <w:vertAlign w:val="superscript"/>
        </w:rPr>
        <w:t>136,137</w:t>
      </w:r>
      <w:r>
        <w:rPr>
          <w:color w:val="000000" w:themeColor="text1"/>
        </w:rPr>
        <w:fldChar w:fldCharType="end"/>
      </w:r>
      <w:r>
        <w:rPr>
          <w:color w:val="000000" w:themeColor="text1"/>
        </w:rPr>
        <w:t xml:space="preserve"> and mouse</w:t>
      </w:r>
      <w:r>
        <w:rPr>
          <w:color w:val="000000" w:themeColor="text1"/>
        </w:rPr>
        <w:fldChar w:fldCharType="begin"/>
      </w:r>
      <w:r w:rsidR="00DA7707">
        <w:rPr>
          <w:color w:val="000000" w:themeColor="text1"/>
        </w:rPr>
        <w:instrText xml:space="preserve"> ADDIN ZOTERO_ITEM CSL_CITATION {"citationID":"I14df7FD","properties":{"formattedCitation":"\\super 136\\nosupersub{}","plainCitation":"136","noteIndex":0},"citationItems":[{"id":1672,"uris":["http://zotero.org/groups/2479328/items/UIM4AZ68"],"uri":["http://zotero.org/groups/2479328/items/UIM4AZ68"],"itemData":{"id":1672,"type":"article-journal","abstract":"&lt;p&gt;Prolonged exposure of human epidermis to excess endogenous or exogenous glucocorticoids can result in well-recognized cutaneous abnormalities. Here, we determined whether short-term glucocorticoid treatment would also display adverse effects, specifically on two key epidermal functions, permeability barrier homeostasis and stratum corneum integrity and cohesion, and the basis for such changes. In humans 3d of treatment with a potent, commonly employed topical glucocorticoid (clobetasol), applied topically, produced a deterioration in barrier homeostasis, characterized by delayed barrier recovery and abnormal stratum corneum integrity (rate of barrier disruption with tape strippings) and stratum corneum cohesion (μg protein removed per stripping). Short-term systemic and topical glucocorticoid produced similar functional defects in mice, where the basis for these abnormalities was explored further. Both the production and secretion of lamellar bodies were profoundly decreased in topical glucocorticoid-treated mice resulting in decreased extracellular lamellar bilayers. These structural changes, in turn, were attributable to a profound global inhibition of lipid synthesis, demonstrated both in epidermis and in cultured human keratinocytes. The basis for the abnormality in stratum corneum integrity and cohesion was a diminution in the density of corneodesmosomes in the lower stratum corneum. We next performed topical replacement studies to determine whether lipid deficiency accounts for the glucocorticoid-induced functional abnormalities. The abnormalities in both permeability barrier homeostasis and stratum corneum integrity were corrected by topical applications of an equimolar distribution of free fatty acids, cholesterol, and ceramides, indicating that glucocorticoid-induced inhibition of epidermal lipid synthesis accounts for the derangements in both cutaneous barrier function and stratum corneum integrity/cohesion. These studies indicate that even short-term exposure to potent glucocorticosteroids can exert profound negative effects on cutaneous structure and function. Finally, topical replenishment with epidermal physiologic lipids could represent a potential method to reduce the adverse cutaneous effects of both topical glucocorticoid treatment and Cushing's syndrome.&lt;/p&gt;","container-title":"Journal of Investigative Dermatology","DOI":"10.1046/j.1523-1747.2003.12053.x","ISSN":"0022-202X, 1523-1747","issue":"3","journalAbbreviation":"J Invest Dermatol","language":"English","page":"456-464","source":"www.jidonline.org","title":"Short-Term Glucocorticoid Treatment Compromises Both Permeability Barrier Homeostasis and Stratum Corneum Integrity: Inhibition of Epidermal Lipid Synthesis Accounts for Functional Abnormalities","title-short":"Short-Term Glucocorticoid Treatment Compromises Both Permeability Barrier Homeostasis and Stratum Corneum Integrity","volume":"120","author":[{"family":"Kao","given":"Jack S."},{"family":"Fluhr","given":"Joachim W."},{"family":"Man","given":"Mao-Qiang"},{"family":"Fowler","given":"Ashley J."},{"family":"Hachem","given":"Jean-Pierre"},{"family":"Crumrine","given":"Debra"},{"family":"Ahn","given":"Sung K."},{"family":"Brown","given":"Barbara E."},{"family":"Elias","given":"Peter M."},{"family":"Feingold","given":"Kenneth R."}],"issued":{"date-parts":[["2003",3,1]]}}}],"schema":"https://github.com/citation-style-language/schema/raw/master/csl-citation.json"} </w:instrText>
      </w:r>
      <w:r>
        <w:rPr>
          <w:color w:val="000000" w:themeColor="text1"/>
        </w:rPr>
        <w:fldChar w:fldCharType="separate"/>
      </w:r>
      <w:r w:rsidR="00DA7707" w:rsidRPr="00DA7707">
        <w:rPr>
          <w:vertAlign w:val="superscript"/>
        </w:rPr>
        <w:t>136</w:t>
      </w:r>
      <w:r>
        <w:rPr>
          <w:color w:val="000000" w:themeColor="text1"/>
        </w:rPr>
        <w:fldChar w:fldCharType="end"/>
      </w:r>
      <w:r>
        <w:rPr>
          <w:color w:val="000000" w:themeColor="text1"/>
        </w:rPr>
        <w:t xml:space="preserve"> epidermal cells. Conversely, GC’s have also been observed to improve epithelial and endothelial barrier integrity, as demonstrated by improved barrier function in intestinal epithelium</w:t>
      </w:r>
      <w:r>
        <w:rPr>
          <w:color w:val="000000" w:themeColor="text1"/>
        </w:rPr>
        <w:fldChar w:fldCharType="begin"/>
      </w:r>
      <w:r w:rsidR="00DA7707">
        <w:rPr>
          <w:color w:val="000000" w:themeColor="text1"/>
        </w:rPr>
        <w:instrText xml:space="preserve"> ADDIN ZOTERO_ITEM CSL_CITATION {"citationID":"caPMndJ0","properties":{"formattedCitation":"\\super 138,139\\nosupersub{}","plainCitation":"138,139","noteIndex":0},"citationItems":[{"id":2558,"uris":["http://zotero.org/users/6281125/items/4FQ3DM23"],"uri":["http://zotero.org/users/6281125/items/4FQ3DM23"],"itemData":{"id":2558,"type":"article-journal","abstract":"Background : The clinical course of Crohn's disease after the induction of remission with medical therapy is characterized by unpredictable relapse. Aim : To evaluate three surrogate markers, intestinal permeability, mucosal TNFα and nuclear factor (NF)-κB/IκBα expression, in order to determine the relationship of these parameters to clinical relapse. Methods : Thirty patients with active Crohn's disease were treated with a 10 week course of prednisone using a tapering dosing regimen. Intestinal permeability (lactulose/mannitol [L/M ratio]) was determined at baseline and at the end of prednisone tapering. TNFα production and the levels of expression of NF-κB/IκBα were measured in colonic mucosal biopsies obtained after the induction of remission. Results : Twenty-two patients (73%) achieved remission and 50% of patients experienced a clinical relapse during the ensuing 12 months. Treatment with prednisone resulted in a significant decrease in the L/M ratio. Of the patients that relapsed, 75% had a raised L/M ratio at the time of remission compared with 20% of patients with a normal L/M ratio (P &lt; 0.008; hazard ratio = 6.094; CI 1.55, 17.43). Mucosal TNFα production was greater in relapsers compared with those who remained in remission. The levels of NF-κB in relapsers were significantly greater and levels of cytosolic IκBα were significantly lower compared with those measured in patients who remained in remission. Conclusions : These findings underscore the importance of incorporating biological parameters of inflammation in determining the clinical course of Crohn's disease.","container-title":"Alimentary Pharmacology &amp; Therapeutics","DOI":"10.1046/j.1365-2036.2003.01611.x","ISSN":"1365-2036","issue":"3","language":"en","note":"_eprint: https://onlinelibrary.wiley.com/doi/pdf/10.1046/j.1365-2036.2003.01611.x","page":"309-317","source":"Wiley Online Library","title":"The mechanisms of prednisone inhibition of inflammation in Crohn's disease involve changes in intestinal permeability, mucosal TNFα production and nuclear factor kappa B expression","volume":"18","author":[{"family":"Wild","given":"G. E."},{"family":"Waschke","given":"K. A."},{"family":"Bitton","given":"A."},{"family":"Thomson","given":"A. B. R."}],"issued":{"date-parts":[["2003"]]}}},{"id":2557,"uris":["http://zotero.org/users/6281125/items/9X9MJR62"],"uri":["http://zotero.org/users/6281125/items/9X9MJR62"],"itemData":{"id":2557,"type":"article-journal","abstract":"A defective intestinal epithelial tight junction (TJ) barrier has been proposed as an important pathogenic factor contributing to the intestinal inflammation of Crohn's disease. Glucocorticoids are first-line therapeutic agents for the treatment of moderate to severe Crohn's disease. Glucocorticoid treatment has been shown to induce retightening of the intestinal TJ barrier defect in Crohn's disease patients. However, the mechanisms that mediate the glucocorticoid therapeutic action on intestinal TJ barrier function remain unknown. The aim of this study was to elucidate the mechanism of glucocorticoid modulation of the intestinal epithelial TJ barrier using an in vitro model system. Filter-grown Caco-2 intestinal epithelial cells were used as an in vitro model to examine the effects of glucocorticoids on basal intestinal epithelial TJ barrier function and on TNF-α-induced disruption of the TJ barrier. Glucocorticoids (prednisolone and dexamethasone) did not have a significant effect on baseline Caco-2 TJ barrier function but prevented the TNF-α-induced increase in Caco-2 TJ permeability. The glucocorticoid protective effect against the TNF-α-induced increase in Caco-2 TJ permeability required activation of the glucocorticoid receptor (GR) complex. The activation of the GR complex resulted in GR complex binding to the glucocorticoid response element (GRE) site on DNA and activation of a GR-responsive promoter. Glucocorticoids inhibited the TNF-α-induced increase in myosin light chain kinase (MLCK) protein expression, a key process mediating the TNF-α increase in intestinal TJ permeability. The glucocorticoid inhibition of the TNF-α-induced increase in MLCK protein expression was due to the binding of the GR complex to a GRE binding site on the MLCK promoter region suppressing the TNF-α-induced activation. Glucocorticoids inhibit the TNF-α-induced increase in Caco-2 TJ permeability. The prednisolone protective action was mediated by binding of activated GR complex to the GRE site on the MLCK promoter, suppressing the TNF-α-induced increase in MLCK gene activity, protein expression, and subsequent opening of the intestinal TJ barrier.","container-title":"American Journal of Physiology-Gastrointestinal and Liver Physiology","DOI":"10.1152/ajpgi.00252.2006","ISSN":"0193-1857, 1522-1547","issue":"2","journalAbbreviation":"American Journal of Physiology-Gastrointestinal and Liver Physiology","language":"en","page":"G590-G598","source":"DOI.org (Crossref)","title":"Mechanism of glucocorticoid regulation of the intestinal tight junction barrier","volume":"292","author":[{"family":"Boivin","given":"Michel A."},{"family":"Ye","given":"Dongmei"},{"family":"Kennedy","given":"John C."},{"family":"Al-Sadi","given":"Rana"},{"family":"Shepela","given":"Chris"},{"family":"Ma","given":"Thomas Y."}],"issued":{"date-parts":[["2007",2]]}}}],"schema":"https://github.com/citation-style-language/schema/raw/master/csl-citation.json"} </w:instrText>
      </w:r>
      <w:r>
        <w:rPr>
          <w:color w:val="000000" w:themeColor="text1"/>
        </w:rPr>
        <w:fldChar w:fldCharType="separate"/>
      </w:r>
      <w:r w:rsidR="00DA7707" w:rsidRPr="00DA7707">
        <w:rPr>
          <w:vertAlign w:val="superscript"/>
        </w:rPr>
        <w:t>138,139</w:t>
      </w:r>
      <w:r>
        <w:rPr>
          <w:color w:val="000000" w:themeColor="text1"/>
        </w:rPr>
        <w:fldChar w:fldCharType="end"/>
      </w:r>
      <w:r>
        <w:rPr>
          <w:color w:val="000000" w:themeColor="text1"/>
        </w:rPr>
        <w:t xml:space="preserve"> and brain endothelium.</w:t>
      </w:r>
      <w:r>
        <w:rPr>
          <w:color w:val="000000" w:themeColor="text1"/>
        </w:rPr>
        <w:fldChar w:fldCharType="begin"/>
      </w:r>
      <w:r w:rsidR="00DA7707">
        <w:rPr>
          <w:color w:val="000000" w:themeColor="text1"/>
        </w:rPr>
        <w:instrText xml:space="preserve"> ADDIN ZOTERO_ITEM CSL_CITATION {"citationID":"ANlSmtdX","properties":{"formattedCitation":"\\super 133,140\\uc0\\u8211{}146\\nosupersub{}","plainCitation":"133,140–146","noteIndex":0},"citationItems":[{"id":1989,"uris":["http://zotero.org/users/6281125/items/MBXJDZSA"],"uri":["http://zotero.org/users/6281125/items/MBXJDZSA"],"itemData":{"id":1989,"type":"article-journal","abstract":"BACKGROUND: The pathogenesis of glucocorticoid (GC)-induced osteonecrosis (ON) of the femoral head remains unclear. Recent research has suggested that it is closely associated with injured bone microvascular endothelial cells (BMECs). However, few studies have used BMECs to perform research pertaining ON of the femoral head.\nOBJECTIVES: The objective of this study was to investigate the functional changes of BMECs treated with a GC and to detect the changes in related genes using microarrays.\nMATERIAL AND METHODS: Cells were isolated using an enzymatic method and identified with EC markers, such as von Willebrand factor (vWF), CD31 and vascular endothelial cadherin (VE-cadherin). Bone microvascular endothelial cells were treated with 0.1 mg/mL and 0.3 mg/mL of hydrocortisone to establish a GC-damaged model of BMECs. The mRNA microarrays were used to detect the differential expression profiles between BMECs with and without GC damage.\nRESULTS: Primary cells appeared as having a cobblestone-like morphology. Immunofluorescence staining revealed that the cells were 100% positive for vWF and CD31, and near 100% positive for VE-cadherin. It also confirmed that the cells were BMECs. Bone microvascular endothelial cells treated with 0.1 mg/mL of hydrocortisone showed shrinkage, and those treated with 0.3 mg/mL of hydrocortisone mostly showed apoptosis. The mRNA microarray showed that genes associated with endothelial cells, such as endothelin 1 (ET-1) receptor, angiotensin II (AII) receptor, intercellular adhesion molecule 1 (ICAM-1), and plasminogen activator inhibitor 1 (PAI-1), were upregulated, and genes associated with endothelial nitric oxide synthase (eNOS), endothelin 1 (ET-1), prostaglandin I2 (PGI2) synthase, PGI2 receptor, vascular endothelial growth factor (VEGF), prostaglandin E (PGE) synthase, and PGE receptor were downregulated. The results of quantitative polymerase chain reaction (qPCR) validation were consistent with the findings of mRNA microarrays.\nCONCLUSIONS: Glucocorticoids promoted BMECs to express vasoconstrictors and procoagulant factors and related receptors, and decreased the expression of vasodilators and their receptors.","container-title":"Advances in Clinical and Experimental Medicine: Official Organ Wroclaw Medical University","DOI":"10.17219/acem/112602","ISSN":"1899-5276","issue":"3","journalAbbreviation":"Adv Clin Exp Med","language":"eng","note":"PMID: 32237286","page":"345-353","source":"PubMed","title":"Effect of glucocorticoids on the function of microvascular endothelial cells in the human femoral head bone","volume":"29","author":[{"family":"Lu","given":"Yufeng"},{"family":"Yu","given":"Qingsheng"},{"family":"Guo","given":"Wanshou"},{"family":"Hao","given":"Yangquan"},{"family":"Sun","given":"Wei"},{"family":"Cheng","given":"Liming"}],"issued":{"date-parts":[["2020",3]]}}},{"id":1979,"uris":["http://zotero.org/users/6281125/items/CHLQB594"],"uri":["http://zotero.org/users/6281125/items/CHLQB594"],"itemData":{"id":1979,"type":"article-journal","abstract":"Owing to the frequent incidence of blast-induced traumatic brain injury (bTBI) in recent military conflicts, there is an urgent need to develop effective therapies for bTBI-related pathologies. Blood-brain barrier (BBB) breakdown has been reported to occur after primary blast exposure, making restoration of BBB function and integrity a promising therapeutic target. We tested the hypothesis that treatment with dexamethasone (DEX) after primary blast injury potentiates recovery of an in vitro BBB model consisting of mouse brain endothelial cells (bEnd.3). DEX treatment resulted in complete recovery of transendothelial electrical resistance and hydraulic conductivity 1 day after injury, compared with 3 days for vehicle-treated injured cultures. Administration of RU486 (mifepristone) inhibited effects of DEX, confirming that barrier restoration was mediated by glucocorticoid receptor signaling. Potentiated recovery with DEX treatment was accompanied by stronger zonula occludens (ZO)-1 tight junction immunostaining and expression, suggesting that increased ZO-1 expression was a structural correlate to BBB recovery after blast. Interestingly, augmented ZO-1 protein expression was associated with specific upregulation of the α+ isoform but not the α? isoform. This is the first study to provide a mechanistic basis for potentiated functional recovery of an in vitro BBB model because of glucocorticoid treatment after primary blast injury.","container-title":"Journal of Cerebral Blood Flow &amp; Metabolism","DOI":"10.1038/jcbfm.2015.38","ISSN":"0271-678X","issue":"7","journalAbbreviation":"J Cereb Blood Flow Metab","note":"publisher: SAGE Publications Ltd STM","page":"1191-1198","source":"SAGE Journals","title":"Dexamethasone Potentiates in Vitro Blood-Brain Barrier Recovery after Primary Blast Injury by Glucocorticoid Receptor-Mediated Upregulation of ZO-1 Tight Junction Protein","volume":"35","author":[{"family":"Hue","given":"Christopher D"},{"family":"Cho","given":"Frances S"},{"family":"Cao","given":"Siqi"},{"family":"Bass","given":"Cameron R “Dale”"},{"family":"Meaney","given":"David F"},{"family":"Morrison","given":"Barclay"}],"issued":{"date-parts":[["2015",7,1]]}}},{"id":1976,"uris":["http://zotero.org/users/6281125/items/JNM2MTGS"],"uri":["http://zotero.org/users/6281125/items/JNM2MTGS"],"itemData":{"id":1976,"type":"article-journal","abstract":"The blood–brain barrier (BBB) plays an important role in controlling the passage of molecules from the blood to the extracellular fluid environment of the brain. An immortalised rat brain endothelial cell line (GPNT) was used to investigate the mechanisms underlying dexamethasone-induced decrease in paracellular permeability. Following treatment with 1 μM dexamethasone there was a decrease in transmonolayer paracellular permeability mainly to sucrose, fluorescein and dextrans of up to 20 KDa. According to pore theory, these differences in permeability were consistent with a decrease in the number of pores between brain endothelial cells. This effect was accompanied by a concentration of filamentous actin and cortactin to the cell periphery. Concomitantly, the continuity of the tight junctional protein ZO-1 at the cell borders was improved and was associated with an increase in both ZO-1 and occludin expression. By contrast, the expression and distribution of adherens junctional proteins such as β-catenin and p100/p120 remained unchanged. These observations suggest that glucocorticoids induce a more differentiated BBB phenotype in cultured brain endothelial cells through modification of tight junction structure.","container-title":"Neuroscience Letters","DOI":"10.1016/S0304-3940(03)00348-3","ISSN":"0304-3940","issue":"2","journalAbbreviation":"Neuroscience Letters","language":"en","page":"112-116","source":"ScienceDirect","title":"Changes in cytoskeletal and tight junctional proteins correlate with decreased permeability induced by dexamethasone in cultured rat brain endothelial cells","volume":"344","author":[{"family":"Romero","given":"Ignacio A."},{"family":"Radewicz","given":"Katrina"},{"family":"Jubin","given":"Emmanuelle"},{"family":"Michel","given":"C. Charles"},{"family":"Greenwood","given":"John"},{"family":"Couraud","given":"Pierre-Olivier"},{"family":"Adamson","given":"Peter"}],"issued":{"date-parts":[["2003",6,26]]}}},{"id":1982,"uris":["http://zotero.org/users/6281125/items/9JZFBSA7"],"uri":["http://zotero.org/users/6281125/items/9JZFBSA7"],"itemData":{"id":1982,"type":"article-journal","language":"en","page":"8","source":"Zotero","title":"Relationship of SerinePThreonine PhosphorylatiodDephosphorylation Signaling to Glucocorticoid Regulation of Tight Junction Permeability andZO-1 Distribution in Nontransformed Mammary Epithelial Cells","author":[{"family":"Singer","given":"Karen L"},{"family":"StevensonOn","given":"BruceR"},{"family":"Woos","given":"Paul L"},{"family":"FirestoneSIl","given":"Gary L"}]}},{"id":2573,"uris":["http://zotero.org/users/6281125/items/R2W95HNA"],"uri":["http://zotero.org/users/6281125/items/R2W95HNA"],"itemData":{"id":2573,"type":"article-journal","container-title":"Brain research","ISSN":"0006-8993","issue":"2","journalAbbreviation":"Brain research","note":"publisher: Elsevier","page":"147-151","title":"Glycerophosphoinositol and dexamethasone improve transendothelial electrical resistance in an in vitro study of the blood–brain barrier","volume":"997","author":[{"family":"Cucullo","given":"Luca"},{"family":"Hallene","given":"Kerri"},{"family":"Dini","given":"Gabriele"},{"family":"Dal Toso","given":"Roberto"},{"family":"Janigro","given":"Damir"}],"issued":{"date-parts":[["2004"]]}}},{"id":2562,"uris":["http://zotero.org/users/6281125/items/WZIWRXHW"],"uri":["http://zotero.org/users/6281125/items/WZIWRXHW"],"itemData":{"id":2562,"type":"article-journal","abstract":"Traumatic brain injury (TBI) is a major cause of preventable death and morbidity in young adults. This complex condition is characterized by significant blood brain barrier leakage that stems from cerebral ischemia, inflammation, and redox imbalances in the traumatic penumbra of the injured brain. Recovery of function after TBI is partly through neuronal plasticity. In order to test whether the combination therapy with melatonin and dexamethasone (DEX) might improve functional recovery, a controlled cortical impact (CCI) in adult mice, as a model of TBI, was performed. Once trauma has occurred, combating these exacerbations is the keystone of an effective TBI therapy. The therapy with Melatonin (10 mg/kg) and DEX (0.025 mg/kg) is able to reduced edema and brain infractions as evidenced by decreased 2, 3, 5-triphenyltetrazolium chloride staining across brain sections. The treatment with Melatonin and DEX mediated improvements in tissues histology shown by reduction of lesion size and improvement in apoptosis level further support the efficacy of combination therapy. The combination therapy also blocked infiltration of astrocytes and reduced the oxidative stress CCI-mediated. In addition, we have also clearly demonstrated that the combination therapy significantly ameliorated neurologic scores. Taken together, our results clearly indicated that Melatonin/DEX combination therapy presents beneficial synergistic effects, considering it an avenue for further development of novel combination therapeutic agents in the treatment of TBI more effective than a single effectors molecule.","container-title":"The Journal of endocrinology","DOI":"10.1530/JOE-13-0022","journalAbbreviation":"The Journal of endocrinology","source":"ResearchGate","title":"Combination therapy with melatonin and dexamethasone in a mouse model of traumatic brain injury","volume":"217","author":[{"family":"Campolo","given":"Michela"},{"family":"Ahmad","given":"Akbar"},{"family":"Crupi","given":"Rosalia"},{"family":"Impellizzeri","given":"Daniela"},{"family":"Morabito","given":"Rossana"},{"family":"Esposito","given":"Emanuela"},{"family":"Cuzzocrea","given":"Salvatore"}],"issued":{"date-parts":[["2013",3,26]]}}},{"id":2565,"uris":["http://zotero.org/users/6281125/items/HCCLH4YK"],"uri":["http://zotero.org/users/6281125/items/HCCLH4YK"],"itemData":{"id":2565,"type":"article-journal","abstract":"Objectives: \n        To establish the molecular background for glucocorticoid insensitivity, that is, failure to reduce edema formation and to protect blood–brain barrier integrity after acute traumatic brain injury.\n        Design: \n        Controlled animal study.\n        Setting: \n        University research laboratory.\n        Subjects: \n        Male C57Bl/6N mice.\n        Interventions: \n        Mechanical brain lesion by controlled cortical impact.\n        Measurements and Main Results: \n        Our study demonstrates that 1) proteasomal glucocorticoid receptor degradation is established in brain endothelial cells after traumatic brain injury as a form of posttranslational glucocorticoid receptor modification; 2) inhibition of the proteasomal degradation pathway with bortezomib (0.2 mg/kg) in combination with the glucocorticoid dexamethasone (10 mg/kg) by subcutaneous injection 30 minutes postinjury restores levels of barrier sealing glucocorticoid receptor target occludin in brain endothelial cells, improves blood–brain barrier integrity, reduces edema formation, and limits neuronal damage after brain trauma.\n        Conclusions: \n        The results indicate that the stabilizing effect of glucocorticoids on the blood–brain barrier is hampered after cerebral lesions by proteasomal glucocorticoid receptor degradation in brain endothelial cells and restored by inhibition of proteasomal degradation pathways. The results provide underlying mechanisms for the clinically observed inefficacy of glucocorticoids. The novel combined treatment strategy might help to attenuate trauma-induced brain edema formation and neuronal damage as secondary effects of brain trauma.","container-title":"Critical Care Medicine","DOI":"10.1097/CCM.0b013e31827ca494","ISSN":"0090-3493","issue":"5","language":"en-US","page":"1305–1315","source":"journals.lww.com","title":"Inhibition of Proteasomal Glucocorticoid Receptor Degradation Restores Dexamethasone-Mediated Stabilization of the Blood–Brain Barrier After Traumatic Brain Injury*","volume":"41","author":[{"family":"Thal","given":"Serge C."},{"family":"Schaible","given":"Eva-Verena"},{"family":"Neuhaus","given":"Winfried"},{"family":"Scheffer","given":"David"},{"family":"Brandstetter","given":"Moritz"},{"family":"Engelhard","given":"Kristin"},{"family":"Wunder","given":"Christian"},{"family":"Förster","given":"Carola Y."}],"issued":{"date-parts":[["2013",5]]}}},{"id":2569,"uris":["http://zotero.org/users/6281125/items/PZDV29VB"],"uri":["http://zotero.org/users/6281125/items/PZDV29VB"],"itemData":{"id":2569,"type":"article-journal","abstract":"Homeostasis of the central nervous system (CNS) microenvironment is essential for its normal function. It is maintained by the blood–brain barrier (BBB) which regulates the transport of molecules from blood into brain and backwards. The integrity of the BBB is compromised in many disorders of the human CNS; therapeutical strategies for several of these diseases include treatment with glucocorticoids, but the molecular basis of how glucocorticoids regulate BBB permeability is not understood. Here, we report the generation and characterization of a murine immortalized brain (cerebral) capillary endothelial (cEND) cell line which expresses the BBB marker occludin at intercellular tight junctions (TJ). Hydrocortisone at physiological concentrations induced upregulation of occludin, accompanied by a threefold enhancement of transendothelial electrical resistance to values up to 1000 Ωcm2. Insulin enhanced the glucocorticoid response. At the molecular level, hydrocortisone induces increase of occludin at protein and mRNA levels by activation of the glucocorticoid receptor (GR) and its binding to putative glucocorticoid responsive elements in the occludin promoter. At the same time, insulin potentiated the ligand-dependent GR transactivation via induction of the GR in this in vitro system. This study thus provides insights into the molecular processes of barrier genesis, and may help to elucidate mechanisms of brain pathology at the microvascular level.","container-title":"The Journal of Physiology","DOI":"10.1113/jphysiol.2005.084038","ISSN":"1469-7793","issue":"2","language":"en","note":"_eprint: https://physoc.onlinelibrary.wiley.com/doi/pdf/10.1113/jphysiol.2005.084038","page":"475-486","source":"Wiley Online Library","title":"Occludin as direct target for glucocorticoid-induced improvement of blood–brain barrier properties in a murine in vitro system","volume":"565","author":[{"family":"Förster","given":"Carola"},{"family":"Silwedel","given":"Christine"},{"family":"Golenhofen","given":"Nikola"},{"family":"Burek","given":"Malgorzata"},{"family":"Kietz","given":"Silke"},{"family":"Mankertz","given":"Joachim"},{"family":"Drenckhahn","given":"Detlev"}],"issued":{"date-parts":[["2005"]]}}}],"schema":"https://github.com/citation-style-language/schema/raw/master/csl-citation.json"} </w:instrText>
      </w:r>
      <w:r>
        <w:rPr>
          <w:color w:val="000000" w:themeColor="text1"/>
        </w:rPr>
        <w:fldChar w:fldCharType="separate"/>
      </w:r>
      <w:r w:rsidR="00DA7707" w:rsidRPr="00DA7707">
        <w:rPr>
          <w:vertAlign w:val="superscript"/>
        </w:rPr>
        <w:t>133,140–146</w:t>
      </w:r>
      <w:r>
        <w:rPr>
          <w:color w:val="000000" w:themeColor="text1"/>
        </w:rPr>
        <w:fldChar w:fldCharType="end"/>
      </w:r>
      <w:r>
        <w:rPr>
          <w:color w:val="000000" w:themeColor="text1"/>
        </w:rPr>
        <w:t xml:space="preserve"> </w:t>
      </w:r>
      <w:r w:rsidRPr="00D67A01">
        <w:t xml:space="preserve">In the context of VF and airway tissue, rabbits treated with a high dose </w:t>
      </w:r>
      <w:r>
        <w:t>of</w:t>
      </w:r>
      <w:r w:rsidRPr="00D67A01">
        <w:t xml:space="preserve"> triamcinolone </w:t>
      </w:r>
      <w:r>
        <w:t>showed</w:t>
      </w:r>
      <w:r w:rsidRPr="00D67A01">
        <w:t xml:space="preserve"> reduce</w:t>
      </w:r>
      <w:r>
        <w:t>d</w:t>
      </w:r>
      <w:r w:rsidRPr="00D67A01">
        <w:t xml:space="preserve"> TJ expression</w:t>
      </w:r>
      <w:r>
        <w:t>,</w:t>
      </w:r>
      <w:r w:rsidRPr="00D67A01">
        <w:t xml:space="preserve"> which may lead to a compromised VF epithelial barrier.</w:t>
      </w:r>
      <w:r w:rsidRPr="00D67A01">
        <w:fldChar w:fldCharType="begin"/>
      </w:r>
      <w:r w:rsidR="00DA7707">
        <w:instrText xml:space="preserve"> ADDIN ZOTERO_ITEM CSL_CITATION {"citationID":"X1CeJMSw","properties":{"formattedCitation":"\\super 147\\nosupersub{}","plainCitation":"147","noteIndex":0},"citationItems":[{"id":2540,"uris":["http://zotero.org/users/6281125/items/8NBNGH49"],"uri":["http://zotero.org/users/6281125/items/8NBNGH49"],"itemData":{"id":2540,"type":"article-journal","abstract":"Objective: Botox causes chemical denervation by inhibiting release of acetylcholine from nerve terminals. In laryngology, Botox was initially introduced in patients with spasmodic dysphonia. Since then, its role has expanded to other disorders of laryngeal muscle hyperfunction. We aim to identify expanded indications of Botox in laryngology and review the literature.\nMethod: We performed a retrospective review of all patients treated with Botox injection in the senior author’s (PW) laryngology practice from 1998 to 2010. Indications were categorized and outcomes were analyzed.\nResults: A total of 257 patients received laryngeal injections of Botox. Of these, 57 patients (22.2%) were indicated for reasons other than spasmodic dysphonia. Twenty-nine (50.9%) were female and 28 (49.1%) were male. Age range was 15 to 72 years with a mean of 40 years. Eighteen (31.6%) patients were treated for paradoxical vocal fold motion, 14 (24.56%) were treated for contact granuloma, and 10 (17.54%) were treated for vocal fold paralysis with aberrant re-innervation. Other indications included tremor, loud voice, mutational voice disorder, and spasticity. Twenty-nine (49.15%) patients benefited from multiple injections.\nConclusion: The use of Botox for the intrinsic musculature of the larynx can be considered for a wide spectrum of pathology involving vocal fold hyperfunction.","container-title":"Otolaryngology–Head and Neck Surgery","DOI":"10.1177/0194599811415823a192","ISSN":"0194-5998, 1097-6817","issue":"2_suppl","journalAbbreviation":"Otolaryngol Head Neck Surg","language":"en","page":"P193-P193","source":"DOI.org (Crossref)","title":"Investigation of Triamcinolone in Acute Phonotrauma","volume":"145","author":[{"family":"Hall","given":"Joseph E."},{"family":"Suehiro","given":"Atsushi"},{"family":"Rousseau","given":"Bernard"},{"family":"Branski","given":"Ryan C."},{"family":"Garrett","given":"C. Gaelyn"}],"issued":{"date-parts":[["2011",8]]}}}],"schema":"https://github.com/citation-style-language/schema/raw/master/csl-citation.json"} </w:instrText>
      </w:r>
      <w:r w:rsidRPr="00D67A01">
        <w:fldChar w:fldCharType="separate"/>
      </w:r>
      <w:r w:rsidR="00DA7707" w:rsidRPr="00DA7707">
        <w:rPr>
          <w:vertAlign w:val="superscript"/>
        </w:rPr>
        <w:t>147</w:t>
      </w:r>
      <w:r w:rsidRPr="00D67A01">
        <w:fldChar w:fldCharType="end"/>
      </w:r>
      <w:r w:rsidRPr="00D67A01">
        <w:t xml:space="preserve"> However, the authors also observed increases in VF TJ expression in rabbits treated with a low dose of triamcinolone, which has also been observed in dexamethasone</w:t>
      </w:r>
      <w:r w:rsidR="00F03569">
        <w:t>-</w:t>
      </w:r>
      <w:r w:rsidRPr="00D67A01">
        <w:t>treated cultured human tracheal epithelium.</w:t>
      </w:r>
      <w:r w:rsidRPr="00D67A01">
        <w:fldChar w:fldCharType="begin"/>
      </w:r>
      <w:r w:rsidR="00DA7707">
        <w:instrText xml:space="preserve"> ADDIN ZOTERO_ITEM CSL_CITATION {"citationID":"pSthrIig","properties":{"formattedCitation":"\\super 148\\nosupersub{}","plainCitation":"148","noteIndex":0},"citationItems":[{"id":2577,"uris":["http://zotero.org/users/6281125/items/G7U4ECYU"],"uri":["http://zotero.org/users/6281125/items/G7U4ECYU"],"itemData":{"id":2577,"type":"article-journal","container-title":"American Journal of Respiratory Cell and Molecular Biology","DOI":"10.1165/rcmb.2015-0071OC","ISSN":"1044-1549, 1535-4989","issue":"5","journalAbbreviation":"Am J Respir Cell Mol Biol","language":"en","page":"707-717","source":"DOI.org (Crossref)","title":"Glucocorticoids Regulate Tight Junction Permeability of Lung Epithelia by Modulating Claudin 8","volume":"54","author":[{"family":"Kielgast","given":"Felix"},{"family":"Schmidt","given":"Hanna"},{"family":"Braubach","given":"Peter"},{"family":"Winkelmann","given":"Veronika E."},{"family":"Thompson","given":"Kristin E."},{"family":"Frick","given":"Manfred"},{"family":"Dietl","given":"Paul"},{"family":"Wittekindt","given":"Oliver H."}],"issued":{"date-parts":[["2016",5]]}}}],"schema":"https://github.com/citation-style-language/schema/raw/master/csl-citation.json"} </w:instrText>
      </w:r>
      <w:r w:rsidRPr="00D67A01">
        <w:fldChar w:fldCharType="separate"/>
      </w:r>
      <w:r w:rsidR="00DA7707" w:rsidRPr="00DA7707">
        <w:rPr>
          <w:vertAlign w:val="superscript"/>
        </w:rPr>
        <w:t>148</w:t>
      </w:r>
      <w:r w:rsidRPr="00D67A01">
        <w:fldChar w:fldCharType="end"/>
      </w:r>
    </w:p>
    <w:p w14:paraId="31039042" w14:textId="327ADCFE" w:rsidR="001E2B27" w:rsidRDefault="001E2B27" w:rsidP="001E2B27">
      <w:pPr>
        <w:shd w:val="clear" w:color="auto" w:fill="FFFFFF"/>
        <w:rPr>
          <w:color w:val="000000" w:themeColor="text1"/>
        </w:rPr>
      </w:pPr>
      <w:r>
        <w:rPr>
          <w:color w:val="000000" w:themeColor="text1"/>
        </w:rPr>
        <w:t xml:space="preserve">Many inflammatory conditions require long-term GC treatment, which has the potential to result in GC resistance and reduced therapeutic effect. A reduced therapeutic effect is believed to be in part due to down regulation of </w:t>
      </w:r>
      <w:r w:rsidR="00867F1D">
        <w:rPr>
          <w:color w:val="000000" w:themeColor="text1"/>
        </w:rPr>
        <w:t xml:space="preserve">the </w:t>
      </w:r>
      <w:r>
        <w:rPr>
          <w:color w:val="000000" w:themeColor="text1"/>
        </w:rPr>
        <w:t>GC</w:t>
      </w:r>
      <w:r w:rsidRPr="00F15762">
        <w:rPr>
          <w:color w:val="000000" w:themeColor="text1"/>
        </w:rPr>
        <w:t>R</w:t>
      </w:r>
      <w:r>
        <w:rPr>
          <w:color w:val="000000" w:themeColor="text1"/>
        </w:rPr>
        <w:t xml:space="preserve"> due to chronic exposure,</w:t>
      </w:r>
      <w:r>
        <w:rPr>
          <w:color w:val="000000" w:themeColor="text1"/>
        </w:rPr>
        <w:fldChar w:fldCharType="begin"/>
      </w:r>
      <w:r w:rsidR="00DA7707">
        <w:rPr>
          <w:color w:val="000000" w:themeColor="text1"/>
        </w:rPr>
        <w:instrText xml:space="preserve"> ADDIN ZOTERO_ITEM CSL_CITATION {"citationID":"jjcGIuqi","properties":{"formattedCitation":"\\super 149\\nosupersub{}","plainCitation":"149","noteIndex":0},"citationItems":[{"id":2581,"uris":["http://zotero.org/users/6281125/items/JG8MAGFE"],"uri":["http://zotero.org/users/6281125/items/JG8MAGFE"],"itemData":{"id":2581,"type":"article-journal","abstract":"Glucocorticoids regulate a variety of physiological processes, and are commonly used to treat disorders of inflammation, autoimmune diseases, and cancer. Glucocorticoid action is predominantly mediated through the classic glucocorticoid receptor (GR), but sensitivity to glucocorticoids varies among individuals, and even within different tissues from the same individual. The molecular basis of this phenomenon can be partially explained through understanding the process of generating bioavailable ligand and the molecular heterogeneity of the GR. The molecular mechanisms that regulate glucocorticoid action highlight the dynamic nature of hormone signaling and provide novel insights into genomic glucocorticoid actions and glucocorticoid sensitivity. Although glucocorticoids are highly effective for therapeutic purposes, long-term and/or high-dose glucocorticoid administration often leads to reduced glucocorticoid sensitivity or resistance. Here, we summarize our current understanding of the mechanisms that modulate glucocorticoid sensitivity and resistance with a focus on GR-mediated signaling.","container-title":"Endocrine development","DOI":"10.1159/000342502","ISSN":"1421-7082","journalAbbreviation":"Endocr Dev","note":"PMID: 23392094\nPMCID: PMC4770453","page":"41-56","source":"PubMed Central","title":"Exploring the Molecular Mechanisms of Glucocorticoid Receptor Action from Sensitivity to Resistance","volume":"24","author":[{"family":"Ramamoorthy","given":"Sivapriya"},{"family":"Cidlowski","given":"John A."}],"issued":{"date-parts":[["2013"]]}}}],"schema":"https://github.com/citation-style-language/schema/raw/master/csl-citation.json"} </w:instrText>
      </w:r>
      <w:r>
        <w:rPr>
          <w:color w:val="000000" w:themeColor="text1"/>
        </w:rPr>
        <w:fldChar w:fldCharType="separate"/>
      </w:r>
      <w:r w:rsidR="00DA7707" w:rsidRPr="00DA7707">
        <w:rPr>
          <w:vertAlign w:val="superscript"/>
        </w:rPr>
        <w:t>149</w:t>
      </w:r>
      <w:r>
        <w:rPr>
          <w:color w:val="000000" w:themeColor="text1"/>
        </w:rPr>
        <w:fldChar w:fldCharType="end"/>
      </w:r>
      <w:r>
        <w:rPr>
          <w:color w:val="000000" w:themeColor="text1"/>
        </w:rPr>
        <w:t xml:space="preserve"> as demonstrated in patients given repeated doses of prednisone to treat </w:t>
      </w:r>
      <w:r w:rsidRPr="003B0053">
        <w:rPr>
          <w:color w:val="000000" w:themeColor="text1"/>
        </w:rPr>
        <w:t>inflammatory bowel disease</w:t>
      </w:r>
      <w:r>
        <w:rPr>
          <w:color w:val="000000" w:themeColor="text1"/>
        </w:rPr>
        <w:t>,</w:t>
      </w:r>
      <w:r w:rsidRPr="003D59A3">
        <w:rPr>
          <w:color w:val="000000" w:themeColor="text1"/>
        </w:rPr>
        <w:fldChar w:fldCharType="begin"/>
      </w:r>
      <w:r w:rsidR="00DA7707">
        <w:rPr>
          <w:color w:val="000000" w:themeColor="text1"/>
        </w:rPr>
        <w:instrText xml:space="preserve"> ADDIN ZOTERO_ITEM CSL_CITATION {"citationID":"PNhwpkRS","properties":{"formattedCitation":"\\super 150\\nosupersub{}","plainCitation":"150","noteIndex":0},"citationItems":[{"id":1994,"uris":["http://zotero.org/users/6281125/items/39SLZERZ"],"uri":["http://zotero.org/users/6281125/items/39SLZERZ"],"itemData":{"id":1994,"type":"article-journal","abstract":"Europe PMC is an archive of life sciences journal literature., Glucocorticoid receptors are down-regulated in inflamed colonic mucosa but not in peripheral blood mononuclear cells from patients with inflammatory bowel disease.","container-title":"European Journal of Clinical Investigation","DOI":"10.1046/j.1365-2362.1999.00460.x","ISSN":"0014-2972, 1365-2362","issue":"4","journalAbbreviation":"Eur J Clin Invest","language":"English","note":"PMID: 10231345","page":"330-336","source":"europepmc.org","title":"Glucocorticoid receptors are down-regulated in inflamed colonic mucosa but not in peripheral blood mononuclear cells from patients with inflammatory bowel disease.","volume":"29","author":[{"family":"G","given":"Rogler"},{"family":"A","given":"Meinel"},{"family":"A","given":"Lingauer"},{"family":"J","given":"Michl"},{"family":"B","given":"Zietz"},{"family":"V","given":"Gross"},{"family":"B","given":"Lang"},{"family":"T","given":"Andus"},{"family":"J","given":"Schölmerich"},{"family":"Kd","given":"Palitzsch"}],"issued":{"date-parts":[["1999",4,1]]}}}],"schema":"https://github.com/citation-style-language/schema/raw/master/csl-citation.json"} </w:instrText>
      </w:r>
      <w:r w:rsidRPr="003D59A3">
        <w:rPr>
          <w:color w:val="000000" w:themeColor="text1"/>
        </w:rPr>
        <w:fldChar w:fldCharType="separate"/>
      </w:r>
      <w:r w:rsidR="00DA7707" w:rsidRPr="00DA7707">
        <w:rPr>
          <w:vertAlign w:val="superscript"/>
        </w:rPr>
        <w:t>150</w:t>
      </w:r>
      <w:r w:rsidRPr="003D59A3">
        <w:rPr>
          <w:color w:val="000000" w:themeColor="text1"/>
        </w:rPr>
        <w:fldChar w:fldCharType="end"/>
      </w:r>
      <w:r>
        <w:rPr>
          <w:color w:val="000000" w:themeColor="text1"/>
        </w:rPr>
        <w:t xml:space="preserve"> and </w:t>
      </w:r>
      <w:r w:rsidRPr="006D7150">
        <w:rPr>
          <w:color w:val="000000" w:themeColor="text1"/>
        </w:rPr>
        <w:t>Nephrotic syndrome</w:t>
      </w:r>
      <w:r>
        <w:rPr>
          <w:rFonts w:ascii="Roboto" w:hAnsi="Roboto"/>
          <w:color w:val="202124"/>
          <w:shd w:val="clear" w:color="auto" w:fill="FFFFFF"/>
        </w:rPr>
        <w:t>.</w:t>
      </w:r>
      <w:r w:rsidRPr="003B5856">
        <w:rPr>
          <w:color w:val="000000" w:themeColor="text1"/>
          <w:highlight w:val="yellow"/>
        </w:rPr>
        <w:fldChar w:fldCharType="begin"/>
      </w:r>
      <w:r w:rsidR="00DA7707">
        <w:rPr>
          <w:color w:val="000000" w:themeColor="text1"/>
          <w:highlight w:val="yellow"/>
        </w:rPr>
        <w:instrText xml:space="preserve"> ADDIN ZOTERO_ITEM CSL_CITATION {"citationID":"aUgoVZiL","properties":{"formattedCitation":"\\super 151\\nosupersub{}","plainCitation":"151","noteIndex":0},"citationItems":[{"id":1999,"uris":["http://zotero.org/users/6281125/items/53ZQLMII"],"uri":["http://zotero.org/users/6281125/items/53ZQLMII"],"itemData":{"id":1999,"type":"article-journal","abstract":"OBJECTIVE: To evaluate the expression of glucocorticoid receptors (GCR) in lymphocytes (CD3/ GCR) and monocytes (CD14/GCR) in children with nephrotic syndrome (NS).\nPATIENTS: The patients were divided into two groups: group I: 17 children with the first NS attack, and group II: 17 children with a subsequent NS event. In both groups, examinations were carried out before treatment (A) and after albuminuria disappearance during prednisone treatment (B). The control group (C) consisted of 23 healthy children, never treated with glucocorticosteroids.\nMETHODS: Flow cytometry was employed twice to determine the number of CD3+ lymphocytes and CD14+ monocytes and the percentage of CD3/GCR+ and CD14/GCR+ cells.\nRESULTS: In group I, the expression of CD3/GCR before treatment (A) decreased during prednisone therapy (B) (p &lt; 0.01), but CD14/GCR did not change. In group II, before treatment (A), both CD3/GCR and CD14/GCR were markedly lower compared to the controls and group I. In examination B, both CD3/GCR and CD14/GCR had decreased.\nCONCLUSION: A low number of GCR might confer a worse response to glucocorticoid therapy. Longitudinal studies should be performed on larger groups of children with their first and subsequent nephrotic syndome attacks.","container-title":"Journal of pediatric endocrinology &amp; metabolism: JPEM","DOI":"10.1515/jpem.2005.18.8.799","ISSN":"0334-018X","issue":"8","journalAbbreviation":"J. Pediatr. Endocrinol. Metab.","language":"eng","note":"PMID: 16200847","page":"799-806","source":"PubMed","title":"Expression of glucocorticoid receptors in nephrotic children depending on total prednisone dose","volume":"18","author":[{"family":"Wasilewska","given":"Anna"},{"family":"Zoch-Zwierz","given":"Walentyna"}],"issued":{"date-parts":[["2005",8]]}}}],"schema":"https://github.com/citation-style-language/schema/raw/master/csl-citation.json"} </w:instrText>
      </w:r>
      <w:r w:rsidRPr="003B5856">
        <w:rPr>
          <w:color w:val="000000" w:themeColor="text1"/>
          <w:highlight w:val="yellow"/>
        </w:rPr>
        <w:fldChar w:fldCharType="separate"/>
      </w:r>
      <w:r w:rsidR="00DA7707" w:rsidRPr="00DA7707">
        <w:rPr>
          <w:vertAlign w:val="superscript"/>
        </w:rPr>
        <w:t>151</w:t>
      </w:r>
      <w:r w:rsidRPr="003B5856">
        <w:rPr>
          <w:color w:val="000000" w:themeColor="text1"/>
          <w:highlight w:val="yellow"/>
        </w:rPr>
        <w:fldChar w:fldCharType="end"/>
      </w:r>
      <w:r>
        <w:rPr>
          <w:color w:val="000000" w:themeColor="text1"/>
        </w:rPr>
        <w:t xml:space="preserve"> Additionally, researchers have also observed a positive correlation between GCR level and response to GC therapy when treating leukemia.</w:t>
      </w:r>
      <w:r w:rsidRPr="003D59A3">
        <w:rPr>
          <w:color w:val="000000" w:themeColor="text1"/>
        </w:rPr>
        <w:fldChar w:fldCharType="begin"/>
      </w:r>
      <w:r w:rsidR="00DA7707">
        <w:rPr>
          <w:color w:val="000000" w:themeColor="text1"/>
        </w:rPr>
        <w:instrText xml:space="preserve"> ADDIN ZOTERO_ITEM CSL_CITATION {"citationID":"Dt0YWSew","properties":{"formattedCitation":"\\super 152\\nosupersub{}","plainCitation":"152","noteIndex":0},"citationItems":[{"id":1993,"uris":["http://zotero.org/users/6281125/items/HQN3M6EC"],"uri":["http://zotero.org/users/6281125/items/HQN3M6EC"],"itemData":{"id":1993,"type":"article-journal","abstract":"Glucocorticoid receptors were studied in various popu lations of normal human peripheral blood lymphocytes and leukemic lymphoblasts. Normal lymphocytes contain low levels of glucocorticoid receptor (-2,500 sites/cell) which are identical in T- and non-T-fractions. Phytohemagglutinin treatment increases levels about 3-fold. Leu kemic lymphoblasts contain larger numbers of receptor sites. Presence of receptor is correlated with in vitro sensitivity to glucocorticoids and in vivo response to therapy. Quantity of receptor is also correlated with com plete remission duration independently of leukemic cell type (T or null), initial WBC, or age of patient. Quantitative determination of glucocorticoid receptor levels in acute lymphoblastic leukemia may be of value both as an independent prognostic variable and in suggesting which patients should receive glucocorticoid therapy.","container-title":"American Journal of Physiology-Endocrinology and Metabolism","DOI":"10.1152/ajpendo.1982.243.2.E103","ISSN":"0193-1849, 1522-1555","issue":"2","journalAbbreviation":"American Journal of Physiology-Endocrinology and Metabolism","language":"en","page":"E103-E108","source":"DOI.org (Crossref)","title":"Clinical implications of glucocorticoid receptors in human leukemia","volume":"243","author":[{"family":"Lippman","given":"M."}],"issued":{"date-parts":[["1982",8,1]]}}}],"schema":"https://github.com/citation-style-language/schema/raw/master/csl-citation.json"} </w:instrText>
      </w:r>
      <w:r w:rsidRPr="003D59A3">
        <w:rPr>
          <w:color w:val="000000" w:themeColor="text1"/>
        </w:rPr>
        <w:fldChar w:fldCharType="separate"/>
      </w:r>
      <w:r w:rsidR="00DA7707" w:rsidRPr="00DA7707">
        <w:rPr>
          <w:vertAlign w:val="superscript"/>
        </w:rPr>
        <w:t>152</w:t>
      </w:r>
      <w:r w:rsidRPr="003D59A3">
        <w:rPr>
          <w:color w:val="000000" w:themeColor="text1"/>
        </w:rPr>
        <w:fldChar w:fldCharType="end"/>
      </w:r>
      <w:r>
        <w:rPr>
          <w:color w:val="000000" w:themeColor="text1"/>
        </w:rPr>
        <w:t xml:space="preserve"> A small number of patients who suffer from severe asthma are resistant to GC treatment.</w:t>
      </w:r>
      <w:r>
        <w:rPr>
          <w:color w:val="000000" w:themeColor="text1"/>
        </w:rPr>
        <w:fldChar w:fldCharType="begin"/>
      </w:r>
      <w:r w:rsidR="00DA7707">
        <w:rPr>
          <w:color w:val="000000" w:themeColor="text1"/>
        </w:rPr>
        <w:instrText xml:space="preserve"> ADDIN ZOTERO_ITEM CSL_CITATION {"citationID":"DjpoD91f","properties":{"formattedCitation":"\\super 153,154\\nosupersub{}","plainCitation":"153,154","noteIndex":0},"citationItems":[{"id":2588,"uris":["http://zotero.org/users/6281125/items/RZX6XIZ5"],"uri":["http://zotero.org/users/6281125/items/RZX6XIZ5"],"itemData":{"id":2588,"type":"article-journal","abstract":"Background: About 5–10% of patients with asthma suffer from poorly controlled disease despite corticosteroid (CS) treatment, which may indicate the presence of CS insensitivity. A study was undertaken to determine whether relative CS insensitivity is present in alveolar macrophages from patients with severe asthma and its association with p38 mitogen-activated protein kinase (MAPK) activation and MAPK phosphatase-1 (MKP-1).\nMethods: Fibreoptic bronchoscopy and bronchoalveolar lavage (BAL) were performed in 20 patients with severe asthma and 19 with non-severe asthma and, for comparison, in 14 normal volunteers. Alveolar macrophages were exposed to lipopolysaccharide (LPS, 10 mg/ ml) and dexamethasone (1028 and 1026 M). Supernatants were assayed for cytokines using an ELISAbased method. p38 MAPK activity and MKP-1 messenger RNA expression were assayed in cell extracts.\nResults: The inhibition of LPS-induced interleukin (IL)1b, IL6, IL8, monocyte chemotactic protein (MCP)-1 and macrophage inflammatory protein (MIP)-1a release by dexamethasone (1026 M) was significantly less in macrophages from patients with severe asthma than in macrophages from patients with non-severe asthma. There was increased p38 MAPK activation in macrophages from patients with severe asthma. MKP-1 expression induced by dexamethasone and LPS, expressed as a ratio of LPS-induced expression, was reduced in severe asthma.\nConclusion: Alveolar macrophages from patients with severe asthma demonstrate CS insensitivity associated with increased p38 MAPK activation that may result from impaired inducibility of MKP-1.","container-title":"Thorax","DOI":"10.1136/thx.2007.090027","ISSN":"0040-6376","issue":"9","journalAbbreviation":"Thorax","language":"en","page":"784-790","source":"DOI.org (Crossref)","title":"Relative corticosteroid insensitivity of alveolar macrophages in severe asthma compared with non-severe asthma","volume":"63","author":[{"family":"Bhavsar","given":"P"},{"family":"Hew","given":"M"},{"family":"Khorasani","given":"N"},{"family":"Torrego","given":"A"},{"family":"Barnes","given":"P J"},{"family":"Adcock","given":"I"},{"family":"Chung","given":"K F"}],"issued":{"date-parts":[["2008",9,1]]}}},{"id":2590,"uris":["http://zotero.org/users/6281125/items/HJPIYU3M"],"uri":["http://zotero.org/users/6281125/items/HJPIYU3M"],"itemData":{"id":2590,"type":"article-journal","container-title":"Journal of Allergy and Clinical Immunology","ISSN":"0091-6749","issue":"4","journalAbbreviation":"Journal of Allergy and Clinical Immunology","note":"publisher: Elsevier","page":"877-885","title":"Corticosteroid insensitivity of chemokine expression in airway smooth muscle of patients with severe asthma","volume":"130","author":[{"family":"Chang","given":"Po-Jui"},{"family":"Bhavsar","given":"Pankaj K"},{"family":"Michaeloudes","given":"Charalambos"},{"family":"Khorasani","given":"Nadia"},{"family":"Chung","given":"Kian Fan"}],"issued":{"date-parts":[["2012"]]}}}],"schema":"https://github.com/citation-style-language/schema/raw/master/csl-citation.json"} </w:instrText>
      </w:r>
      <w:r>
        <w:rPr>
          <w:color w:val="000000" w:themeColor="text1"/>
        </w:rPr>
        <w:fldChar w:fldCharType="separate"/>
      </w:r>
      <w:r w:rsidR="00DA7707" w:rsidRPr="00DA7707">
        <w:rPr>
          <w:vertAlign w:val="superscript"/>
        </w:rPr>
        <w:t>153,154</w:t>
      </w:r>
      <w:r>
        <w:rPr>
          <w:color w:val="000000" w:themeColor="text1"/>
        </w:rPr>
        <w:fldChar w:fldCharType="end"/>
      </w:r>
      <w:r>
        <w:rPr>
          <w:color w:val="000000" w:themeColor="text1"/>
        </w:rPr>
        <w:t xml:space="preserve"> This insensitivity is believed to be partially due to inherently lower GCR expression levels in the airway smooth muscle in this population, rather than GC</w:t>
      </w:r>
      <w:r w:rsidR="00F03569">
        <w:rPr>
          <w:color w:val="000000" w:themeColor="text1"/>
        </w:rPr>
        <w:t>-</w:t>
      </w:r>
      <w:r>
        <w:rPr>
          <w:color w:val="000000" w:themeColor="text1"/>
        </w:rPr>
        <w:t>induced resistance.</w:t>
      </w:r>
      <w:r>
        <w:rPr>
          <w:color w:val="000000" w:themeColor="text1"/>
        </w:rPr>
        <w:fldChar w:fldCharType="begin"/>
      </w:r>
      <w:r w:rsidR="00DA7707">
        <w:rPr>
          <w:color w:val="000000" w:themeColor="text1"/>
        </w:rPr>
        <w:instrText xml:space="preserve"> ADDIN ZOTERO_ITEM CSL_CITATION {"citationID":"U5ICRNhw","properties":{"formattedCitation":"\\super 155\\nosupersub{}","plainCitation":"155","noteIndex":0},"citationItems":[{"id":2585,"uris":["http://zotero.org/users/6281125/items/D9KZAK3Z"],"uri":["http://zotero.org/users/6281125/items/D9KZAK3Z"],"itemData":{"id":2585,"type":"article-journal","abstract":"Rationale: Patients with severe asthma (SA) are less responsive to the beneﬁcial effects of corticosteroid (CS) therapy, and relative CS insensitivity has been shown in airway smooth muscle cells (ASMC) from patients with SA.","container-title":"American Journal of Respiratory and Critical Care Medicine","DOI":"10.1164/rccm.201402-0314OC","ISSN":"1073-449X, 1535-4970","issue":"1","journalAbbreviation":"Am J Respir Crit Care Med","language":"en","page":"54-62","source":"DOI.org (Crossref)","title":"Impaired Nuclear Translocation of the Glucocorticoid Receptor in Corticosteroid-Insensitive Airway Smooth Muscle in Severe Asthma","volume":"191","author":[{"family":"Chang","given":"Po-Jui"},{"family":"Michaeloudes","given":"Charalambos"},{"family":"Zhu","given":"Jie"},{"family":"Shaikh","given":"Nooreen"},{"family":"Baker","given":"Josephine"},{"family":"Chung","given":"Kian Fan"},{"family":"Bhavsar","given":"Pankaj K."}],"issued":{"date-parts":[["2015",1]]}}}],"schema":"https://github.com/citation-style-language/schema/raw/master/csl-citation.json"} </w:instrText>
      </w:r>
      <w:r>
        <w:rPr>
          <w:color w:val="000000" w:themeColor="text1"/>
        </w:rPr>
        <w:fldChar w:fldCharType="separate"/>
      </w:r>
      <w:r w:rsidR="00DA7707" w:rsidRPr="00DA7707">
        <w:rPr>
          <w:vertAlign w:val="superscript"/>
        </w:rPr>
        <w:t>155</w:t>
      </w:r>
      <w:r>
        <w:rPr>
          <w:color w:val="000000" w:themeColor="text1"/>
        </w:rPr>
        <w:fldChar w:fldCharType="end"/>
      </w:r>
    </w:p>
    <w:p w14:paraId="3BAC2EC3" w14:textId="1CDDA7CE" w:rsidR="001E2B27" w:rsidRDefault="001E2B27" w:rsidP="001E2B27">
      <w:r w:rsidRPr="00D67A01">
        <w:t>Although the exact mechanisms of GC effects on TJ, angiogenesis, and GCR are still being elucidated, the underlying molecular mechanisms of GC</w:t>
      </w:r>
      <w:r w:rsidR="00F03569">
        <w:t>-</w:t>
      </w:r>
      <w:r w:rsidRPr="00D67A01">
        <w:t xml:space="preserve">induced atrophy </w:t>
      </w:r>
      <w:r w:rsidR="009818E7">
        <w:t>are better understood.</w:t>
      </w:r>
      <w:r w:rsidRPr="00D67A01">
        <w:fldChar w:fldCharType="begin"/>
      </w:r>
      <w:r w:rsidR="00DA7707">
        <w:instrText xml:space="preserve"> ADDIN ZOTERO_ITEM CSL_CITATION {"citationID":"WRvM1gNO","properties":{"formattedCitation":"\\super 156,156,157\\nosupersub{}","plainCitation":"156,156,157","noteIndex":0},"citationItems":[{"id":661,"uris":["http://zotero.org/users/6281125/items/LXFVL6H6"],"uri":["http://zotero.org/users/6281125/items/LXFVL6H6"],"itemData":{"id":661,"type":"article-journal","abstract":"Background: Many pathological states characterized by muscle atrophy (e.g., sepsis, cachexia, starvation, metabolic acidosis and severe insulinopenia) are associated with an increase in circulating glucocorticoid (GC) levels, suggesting that GC could trigger the muscle atrophy observed in these conditions. GC-induced muscle atrophy results from decreased protein synthesis and increased protein degradation. The inhibitory effect of GCs on protein synthesis is thought to result mainly from the inhibition of the p70 ribosomal S6 protein kinase. The stimulatory effect of GCs on muscle proteolysis results from the activation of two major cellular proteolytic systems: ubiquitin proteasome and lysosomal systems. The decrease in muscle production of insulin-like growth factor I (IGF-I), a muscle anabolic growth factor, could contribute to GC-induced muscle atrophy. By activating the phosphatidylinositol-3-kinase/Akt pathway, IGF-I overrides GC action to stunt muscle atrophy. Evidence also indicates that increased production of myostatin, a catabolic growth factor, could play a critical role in GC-induced muscle atrophy. Conclusions: Recent progress in understanding the role of growth factors in GC-induced muscle atrophy allows investigation into new therapies to minimize this myopathy.","container-title":"Hormone Research","DOI":"10.1159/000229762","ISSN":"1423-0046, 0301-0163","issue":"1","journalAbbreviation":"Horm Res","language":"en","page":"36-41","source":"DOI.org (Crossref)","title":"Mechanisms of Muscle Atrophy Induced by Glucocorticoids","volume":"72","author":[{"family":"Schakman","given":"O."},{"family":"Gilson","given":"H."},{"family":"Kalista","given":"S."},{"family":"Thissen","given":"J.P."}],"issued":{"date-parts":[["2009"]]}}},{"id":661,"uris":["http://zotero.org/users/6281125/items/LXFVL6H6"],"uri":["http://zotero.org/users/6281125/items/LXFVL6H6"],"itemData":{"id":661,"type":"article-journal","abstract":"Background: Many pathological states characterized by muscle atrophy (e.g., sepsis, cachexia, starvation, metabolic acidosis and severe insulinopenia) are associated with an increase in circulating glucocorticoid (GC) levels, suggesting that GC could trigger the muscle atrophy observed in these conditions. GC-induced muscle atrophy results from decreased protein synthesis and increased protein degradation. The inhibitory effect of GCs on protein synthesis is thought to result mainly from the inhibition of the p70 ribosomal S6 protein kinase. The stimulatory effect of GCs on muscle proteolysis results from the activation of two major cellular proteolytic systems: ubiquitin proteasome and lysosomal systems. The decrease in muscle production of insulin-like growth factor I (IGF-I), a muscle anabolic growth factor, could contribute to GC-induced muscle atrophy. By activating the phosphatidylinositol-3-kinase/Akt pathway, IGF-I overrides GC action to stunt muscle atrophy. Evidence also indicates that increased production of myostatin, a catabolic growth factor, could play a critical role in GC-induced muscle atrophy. Conclusions: Recent progress in understanding the role of growth factors in GC-induced muscle atrophy allows investigation into new therapies to minimize this myopathy.","container-title":"Hormone Research","DOI":"10.1159/000229762","ISSN":"1423-0046, 0301-0163","issue":"1","journalAbbreviation":"Horm Res","language":"en","page":"36-41","source":"DOI.org (Crossref)","title":"Mechanisms of Muscle Atrophy Induced by Glucocorticoids","volume":"72","author":[{"family":"Schakman","given":"O."},{"family":"Gilson","given":"H."},{"family":"Kalista","given":"S."},{"family":"Thissen","given":"J.P."}],"issued":{"date-parts":[["2009"]]}}},{"id":697,"uris":["http://zotero.org/users/6281125/items/LJ6PZGMF"],"uri":["http://zotero.org/users/6281125/items/LJ6PZGMF"],"itemData":{"id":697,"type":"article-journal","abstract":"Objective: To analyze the mechanisms of action of glucocorticoids in causing muscle atrophy and to examine the therapeutic effect of testosterone as well as other treatment modalities in counteracting this adverse effect.\nMethods: We reviewed selected publications to analyze the mechanisms of glucocorticoid-induced muscle atrophy in animal models and in humans. The pathophysiologic features of glucocorticoid-induced hypogonadism and the possible relationship to the muscle atrophy in patients receiving glucocorticoids were assessed. The beneficial effects of testosterone on the muscles of hypogonadal and eugonadal men were also reviewed. Other measures such as exercise and glutamine and their possible therapeutic and preventive effects were examined in the context of hypercortisolemia.\nResults: Glucocorticoids induce rapid muscle breakdown and proximal muscle atrophy. The mechanism of glucocorticoid-induced muscle atrophy relies on the degradation of the myosin heavy chain (catabolic effect), the most important contractile protein in muscle, associated with a decrease of its synthesis (antianabolic effect). One of the contributing factors in the development of muscle atrophy is hypogonadism that is induced by long-term glucocorticoid use. Androgen possesses anabolic and anticatabolic effects in vitro and in animal models. Androgens can be used safely to counteract the catabolic effects of cortisol. Other measures such as exercise, glutamine, and alanyl-glutamine are promising in animal models of glucocorticoid-induced muscle atrophy.\nConclusion: This study suggests the possible efficacy of testosterone and glutamine on glucocorticoidinduced muscle atrophy. Testosterone and glutamine are natural biologic products with safe pharmacologic profiles, and their bioefficacy merits active research in humans. (Endocr Pract. 1999;5:277-281)","container-title":"Endocrine Practice","DOI":"10.4158/EP.5.5.277","ISSN":"1530-891X, 1934-2403","issue":"5","journalAbbreviation":"Endocrine Practice","language":"en","page":"277-281","source":"DOI.org (Crossref)","title":"GLUCOCORTICOID-INDUCED MUSCLE ATROPHY: MECHANISMS AND THERAPEUTIC STRATEGIES","title-short":"GLUCOCORTICOID-INDUCED MUSCLE ATROPHY","volume":"5","author":[{"family":"Salehian, MD","given":"Behrouz"},{"family":"Kejriwal, MD","given":"Kamal"}],"issued":{"date-parts":[["1999",9]]}}}],"schema":"https://github.com/citation-style-language/schema/raw/master/csl-citation.json"} </w:instrText>
      </w:r>
      <w:r w:rsidRPr="00D67A01">
        <w:fldChar w:fldCharType="separate"/>
      </w:r>
      <w:r w:rsidR="00DA7707" w:rsidRPr="00DA7707">
        <w:rPr>
          <w:vertAlign w:val="superscript"/>
        </w:rPr>
        <w:t>156,156,157</w:t>
      </w:r>
      <w:r w:rsidRPr="00D67A01">
        <w:fldChar w:fldCharType="end"/>
      </w:r>
      <w:r w:rsidRPr="00D67A01">
        <w:t xml:space="preserve"> Many catabolic conditions resulting in muscle atrophy (e.g. sepsis, cachexia, starvation, and metabolic acidosis) are characterized by increased </w:t>
      </w:r>
      <w:r w:rsidR="00355CF7">
        <w:t>GC</w:t>
      </w:r>
      <w:r w:rsidRPr="00D67A01">
        <w:t xml:space="preserve"> levels.</w:t>
      </w:r>
      <w:r w:rsidRPr="00D67A01">
        <w:fldChar w:fldCharType="begin"/>
      </w:r>
      <w:r w:rsidR="00DA7707">
        <w:instrText xml:space="preserve"> ADDIN ZOTERO_ITEM CSL_CITATION {"citationID":"XAgB0blF","properties":{"formattedCitation":"\\super 158\\nosupersub{}","plainCitation":"158","noteIndex":0},"citationItems":[{"id":831,"uris":["http://zotero.org/users/6281125/items/DQGJP2CL"],"uri":["http://zotero.org/users/6281125/items/DQGJP2CL"],"itemData":{"id":831,"type":"article-journal","abstract":"All intracellular proteins and many extracellular proteins are continually “turning over”; i.e., they are being hydrolyzed to their constituent amino acids and","container-title":"The Journal of Nutrition","DOI":"10.1093/jn/129.1.227S","ISSN":"0022-3166","issue":"1","journalAbbreviation":"J Nutr","language":"en","note":"publisher: Oxford Academic","page":"227S-237S","source":"academic.oup.com","title":"Muscle Protein Breakdown and the Critical Role of the Ubiquitin-Proteasome Pathway in Normal and Disease States","volume":"129","author":[{"family":"Lecker","given":"Stewart H."},{"family":"Solomon","given":"Vered"},{"family":"Mitch","given":"William E."},{"family":"Goldberg","given":"Alfred L."}],"issued":{"date-parts":[["1999",1,1]]}}}],"schema":"https://github.com/citation-style-language/schema/raw/master/csl-citation.json"} </w:instrText>
      </w:r>
      <w:r w:rsidRPr="00D67A01">
        <w:fldChar w:fldCharType="separate"/>
      </w:r>
      <w:r w:rsidR="00DA7707" w:rsidRPr="00DA7707">
        <w:rPr>
          <w:vertAlign w:val="superscript"/>
        </w:rPr>
        <w:t>158</w:t>
      </w:r>
      <w:r w:rsidRPr="00D67A01">
        <w:fldChar w:fldCharType="end"/>
      </w:r>
      <w:r w:rsidRPr="00D67A01">
        <w:t xml:space="preserve"> Additionally, catabolic responses in skeletal muscle have been observed after </w:t>
      </w:r>
      <w:r w:rsidR="00355CF7">
        <w:t>GC</w:t>
      </w:r>
      <w:r w:rsidRPr="00D67A01">
        <w:t xml:space="preserve"> treatment </w:t>
      </w:r>
      <w:r w:rsidRPr="00D67A01">
        <w:rPr>
          <w:i/>
          <w:iCs/>
        </w:rPr>
        <w:t>in vitro</w:t>
      </w:r>
      <w:r w:rsidRPr="00D67A01">
        <w:t xml:space="preserve"> and </w:t>
      </w:r>
      <w:r w:rsidRPr="00D67A01">
        <w:rPr>
          <w:i/>
          <w:iCs/>
        </w:rPr>
        <w:t xml:space="preserve">in vivo. </w:t>
      </w:r>
      <w:r w:rsidRPr="0069129F">
        <w:t xml:space="preserve">The use of intracordal injections of GCs </w:t>
      </w:r>
      <w:r>
        <w:t>for</w:t>
      </w:r>
      <w:r w:rsidRPr="0069129F">
        <w:t xml:space="preserve"> various laryngeal </w:t>
      </w:r>
      <w:r>
        <w:t>indications</w:t>
      </w:r>
      <w:r w:rsidRPr="0069129F">
        <w:t xml:space="preserve"> has been associated </w:t>
      </w:r>
      <w:r>
        <w:t xml:space="preserve">with </w:t>
      </w:r>
      <w:r w:rsidRPr="0069129F">
        <w:t>atrophy of the</w:t>
      </w:r>
      <w:r>
        <w:t xml:space="preserve"> TA muscle of the</w:t>
      </w:r>
      <w:r w:rsidRPr="0069129F">
        <w:t xml:space="preserve"> VFs</w:t>
      </w:r>
      <w:r w:rsidRPr="00D67A01">
        <w:t>.</w:t>
      </w:r>
      <w:r>
        <w:t xml:space="preserve"> For example,</w:t>
      </w:r>
      <w:r w:rsidRPr="00D67A01">
        <w:t xml:space="preserve"> </w:t>
      </w:r>
      <w:r>
        <w:t>a</w:t>
      </w:r>
      <w:r w:rsidRPr="00D67A01">
        <w:t xml:space="preserve"> series of prospective case studies observed VF atrophy in two subjects receiving </w:t>
      </w:r>
      <w:r>
        <w:t>a weekly injection</w:t>
      </w:r>
      <w:r w:rsidRPr="00D67A01">
        <w:t xml:space="preserve"> of dexamethasone</w:t>
      </w:r>
      <w:r>
        <w:t xml:space="preserve"> for</w:t>
      </w:r>
      <w:r w:rsidR="00DB008F">
        <w:t xml:space="preserve"> 5</w:t>
      </w:r>
      <w:r w:rsidR="00221C3F">
        <w:t xml:space="preserve"> and 6</w:t>
      </w:r>
      <w:r>
        <w:t>-weeks</w:t>
      </w:r>
      <w:r w:rsidR="005F48E2">
        <w:t xml:space="preserve"> respectively</w:t>
      </w:r>
      <w:r w:rsidRPr="00D67A01">
        <w:t>, resulting in perceived breathy dysphonia and incomplete glottal closure.</w:t>
      </w:r>
      <w:r w:rsidRPr="00D67A01">
        <w:fldChar w:fldCharType="begin"/>
      </w:r>
      <w:r w:rsidR="00DA7707">
        <w:instrText xml:space="preserve"> ADDIN ZOTERO_ITEM CSL_CITATION {"citationID":"p4xNo7j3","properties":{"formattedCitation":"\\super 159\\nosupersub{}","plainCitation":"159","noteIndex":0},"citationItems":[{"id":6,"uris":["http://zotero.org/users/6281125/items/S7I28Z63"],"uri":["http://zotero.org/users/6281125/items/S7I28Z63"],"itemData":{"id":6,"type":"article-journal","abstract":"Objective The aim of this study was to illustrate the risk of vocal fold atrophy in patients who receive serial subepithelial steroid injections for vocal fold scar. Methods This study is a retrospective case report of two patients who underwent a series of weekly subepithelial infusions of 10 mg/mL dexamethasone for benign vocal fold lesion. Shortly after the procedures, both patients developed a weak and breathy voice. The first patient was a 53-year-old man with radiation-induced vocal fold stiffness. Six injections were performed unilaterally, and 1 week later, he developed unilateral vocal fold atrophy with new glottal insufficiency. The second patient was a 67-year-old woman with severe vocal fold inflammation related to laryngitis and calcinosis, Raynaud's phenomenon, esophagean dysmotility, sclerodactyly, and telangiectasia (CREST) syndrome. Five injections were performed bilaterally, and 1 week later, she developed bilateral vocal fold atrophy with a large midline glottal gap during phonation. In both cases, the steroid-induced vocal atrophy resolved spontaneously after 4 months. Outcomes &amp; Importance Serial subepithelial steroid infusions of the vocal folds, although safe in the majority of patients, carry the risk of causing temporary vocal fold atrophy when given at short intervals.","container-title":"Journal of Voice","DOI":"10.1016/j.jvoice.2015.10.004","ISSN":"18734588","issue":"6","page":"762-e11","title":"The risk of vocal fold atrophy after serial corticosteroid injections of the vocal fold","volume":"30","author":[{"family":"Shi","given":"Lucy L."},{"family":"Giraldez-Rodriguez","given":"Laureano A."},{"family":"Johns","given":"Michael M."}],"issued":{"date-parts":[["2016"]]}}}],"schema":"https://github.com/citation-style-language/schema/raw/master/csl-citation.json"} </w:instrText>
      </w:r>
      <w:r w:rsidRPr="00D67A01">
        <w:fldChar w:fldCharType="separate"/>
      </w:r>
      <w:r w:rsidR="00DA7707" w:rsidRPr="00DA7707">
        <w:rPr>
          <w:vertAlign w:val="superscript"/>
        </w:rPr>
        <w:t>159</w:t>
      </w:r>
      <w:r w:rsidRPr="00D67A01">
        <w:fldChar w:fldCharType="end"/>
      </w:r>
      <w:r w:rsidRPr="00D67A01">
        <w:t xml:space="preserve"> Additionally, </w:t>
      </w:r>
      <w:r>
        <w:t>intracordal</w:t>
      </w:r>
      <w:r w:rsidRPr="00D67A01">
        <w:t xml:space="preserve"> injection of triamcinolone in rabbits showed increased degrees of TA muscle atrophy in the weeks following treatment.</w:t>
      </w:r>
      <w:r w:rsidRPr="00D67A01">
        <w:fldChar w:fldCharType="begin"/>
      </w:r>
      <w:r w:rsidR="00DA7707">
        <w:instrText xml:space="preserve"> ADDIN ZOTERO_ITEM CSL_CITATION {"citationID":"LioHFTNx","properties":{"formattedCitation":"\\super 160\\nosupersub{}","plainCitation":"160","noteIndex":0},"citationItems":[{"id":2545,"uris":["http://zotero.org/users/6281125/items/YPR4W5SJ"],"uri":["http://zotero.org/users/6281125/items/YPR4W5SJ"],"itemData":{"id":2545,"type":"article-journal","abstract":"Objectives/HypothesisThe purpose of this study was to investigate the morphological and histological change of vocal folds (VFs) after steroid injection in a rabbit model.Study DesignProspective animal study.SettingTertiary academic medical center.Subjects and MethodsTwenty-four New Zealand white rabbits were used in this study. We randomly classified rabbits into the 3 groups and triamcinolone acetonide suspension was injected to the right VF with different concentrations. Left VF was injected with the same volume of phosphate-buffered saline as control. Endoscopic evaluation was performed to measure morphological changes. The larynges were collected for histological analysis, and the VFs were stained with hematoxylin-eosin for assessing inflammatory response, glandular atrophy, and muscular atrophy and with Masson?s trichrome for assessing collagen deposition.ResultsIn morphological assessment, there were no differences in VF mass reduction, mucosal atrophy, and granulation formation between both VFs. Histological assessments showed no significant difference in inflammatory response, glandular atrophy, and collagen deposition between both VFs. However, there was a difference in muscular atrophy and epithelial layer thinning in steroid injected right VFs. Muscular atrophy had been completely recovered over time, but mild epithelial thinning was continued until 12 weeks. The longer exposure time and larger dose did not increase the intensity of muscular atrophy or epithelial thinning.ConclusionWe demonstrated that the VF steroid injection resulted in no significant changes in morphology and histology of rabbit VF. However, steroid injection may induce several VF histological changes and these results are needed to be considered when treating humans.","container-title":"Otolaryngology–Head and Neck Surgery","DOI":"10.1177/0194599813489657","ISSN":"0194-5998","issue":"2","journalAbbreviation":"Otolaryngol Head Neck Surg","note":"publisher: SAGE Publications Inc","page":"277-283","source":"SAGE Journals","title":"Morphological and Histological Changes of Rabbit Vocal Fold after Steroid Injection","volume":"149","author":[{"family":"Jin","given":"Hee-Jin"},{"family":"Lee","given":"Sang-Hyuk"},{"family":"Lee","given":"Seon-Uk"},{"family":"Lee","given":"Hyun-Sub"},{"family":"Jin","given":"Sung-Min"},{"family":"Kim","given":"Dong-Hun"},{"family":"Chae","given":"Seung-Wan"},{"family":"Sohn","given":"Jin-Hee"}],"issued":{"date-parts":[["2013",8,1]]}}}],"schema":"https://github.com/citation-style-language/schema/raw/master/csl-citation.json"} </w:instrText>
      </w:r>
      <w:r w:rsidRPr="00D67A01">
        <w:fldChar w:fldCharType="separate"/>
      </w:r>
      <w:r w:rsidR="00DA7707" w:rsidRPr="00DA7707">
        <w:rPr>
          <w:vertAlign w:val="superscript"/>
        </w:rPr>
        <w:t>160</w:t>
      </w:r>
      <w:r w:rsidRPr="00D67A01">
        <w:fldChar w:fldCharType="end"/>
      </w:r>
      <w:r w:rsidRPr="00D67A01">
        <w:t xml:space="preserve"> These findings are also supported by anecdotal evidence of VF atrophy following </w:t>
      </w:r>
      <w:r>
        <w:t>intracordal injection</w:t>
      </w:r>
      <w:r w:rsidR="00E55827">
        <w:t>s</w:t>
      </w:r>
      <w:r w:rsidRPr="00D67A01">
        <w:t>.</w:t>
      </w:r>
      <w:r w:rsidRPr="00D67A01">
        <w:fldChar w:fldCharType="begin"/>
      </w:r>
      <w:r w:rsidR="00DA7707">
        <w:instrText xml:space="preserve"> ADDIN ZOTERO_ITEM CSL_CITATION {"citationID":"cOi18D3e","properties":{"formattedCitation":"\\super 113\\nosupersub{}","plainCitation":"113","noteIndex":0},"citationItems":[{"id":"cN3eXgV6/AW7diLr7","uris":["http://www.mendeley.com/documents/?uuid=4db6e3bc-ad65-4910-b3b4-8afe0c2e705b"],"uri":["http://www.mendeley.com/documents/?uuid=4db6e3bc-ad65-4910-b3b4-8afe0c2e705b"],"itemData":{"DOI":"10.1001/archoto.2011.168","ISSN":"08864470","abstract":"Objective: To analyze the usefulness and safety of a steroid injection into vocal nodules via the cricothyroid membrane. Local administration of steroid directly into the larynx has been reported in many laryngeal diseases with different methods. Design: Prospective case series at an academic tertiary care hospital. Patients: Eighty patients with vocal nodules were enrolled between December 2008 and May 2010. Interventions: Triamcinolone acetonide was injected through the cricothyroid membrane with a transnasal flexible laryngoscope to patients in a sitting position. Main Outcome Measures: Vocal nodules were evaluated before and 2 and 4weeks after the injection; improvement was assessed both objectively and subjectively.Results: The nodules disappeared in 35 patients by the fourth week after the injection (44%), and 39 patients showed improvement (49%). Jitter, shimmer, maximum phonation time, and mean voice handicap index also improved significantly after the steroid injection (P</w:instrText>
      </w:r>
      <w:r w:rsidR="00DA7707">
        <w:rPr>
          <w:rFonts w:ascii="Cambria Math" w:hAnsi="Cambria Math" w:cs="Cambria Math"/>
        </w:rPr>
        <w:instrText>≲</w:instrText>
      </w:r>
      <w:r w:rsidR="00DA7707">
        <w:instrText>λτ</w:instrText>
      </w:r>
      <w:r w:rsidR="00DA7707">
        <w:rPr>
          <w:rFonts w:ascii="Cambria Math" w:hAnsi="Cambria Math" w:cs="Cambria Math"/>
        </w:rPr>
        <w:instrText>∀</w:instrText>
      </w:r>
      <w:r w:rsidR="00DA7707">
        <w:instrText xml:space="preserve">.05 for all). Six patients with voice-related occupations showed improvement at the second week (8%), but the nodules had recurred after 4 weeks. Four patients experienced mild vocal fold atrophy, and 2 patients showed a white plaque formation on the vocal fold that resolved spontaneously 1 to 2 months after the injection. Conclusions: A local steroid injection via the cricothyroid membrane is a useful and safe treatment option for vocal nodules. However, vocal nodules are caused mainly by excessive voice use; therefore, nodules can recur unless the voice use pattern changes. Further study of this treatment technique, including long-term follow-up, is needed. ©2011 American Medical Association. All rights reserved.","author":[{"dropping-particle":"","family":"Lee","given":"Sang Hyuk","non-dropping-particle":"","parse-names":false,"suffix":""},{"dropping-particle":"","family":"Yeo","given":"Jang Ok","non-dropping-particle":"","parse-names":false,"suffix":""},{"dropping-particle":"","family":"Choi","given":"Jeong Im","non-dropping-particle":"","parse-names":false,"suffix":""},{"dropping-particle":"","family":"Jin","given":"Hee","non-dropping-particle":"","parse-names":false,"suffix":""},{"dropping-particle":"","family":"Kim","given":"Jin Pyeong","non-dropping-particle":"","parse-names":false,"suffix":""},{"dropping-particle":"","family":"Woo","given":"Seung Hoon","non-dropping-particle":"","parse-names":false,"suffix":""},{"dropping-particle":"","family":"Jin","given":"Sung Min","non-dropping-particle":"","parse-names":false,"suffix":""}],"container-title":"Archives of Otolaryngology - Head and Neck Surgery","id":"JYrlE70u/pbLywax1","issued":{"date-parts":[["2011"]]},"title":"Local steroid injection via the cricothyroid membrane in patients with a vocal nodule","type":"article-journal"}}],"schema":"https://github.com/citation-style-language/schema/raw/master/csl-citation.json"} </w:instrText>
      </w:r>
      <w:r w:rsidRPr="00D67A01">
        <w:fldChar w:fldCharType="separate"/>
      </w:r>
      <w:r w:rsidR="00DA7707" w:rsidRPr="00DA7707">
        <w:rPr>
          <w:vertAlign w:val="superscript"/>
        </w:rPr>
        <w:t>113</w:t>
      </w:r>
      <w:r w:rsidRPr="00D67A01">
        <w:fldChar w:fldCharType="end"/>
      </w:r>
    </w:p>
    <w:p w14:paraId="35B5BFC0" w14:textId="77777777" w:rsidR="00F430DE" w:rsidRPr="001E2B27" w:rsidRDefault="00F430DE" w:rsidP="00F430DE">
      <w:pPr>
        <w:ind w:firstLine="0"/>
      </w:pPr>
    </w:p>
    <w:p w14:paraId="69288EDC" w14:textId="5FDBF276" w:rsidR="00743D8A" w:rsidRPr="009D2186" w:rsidRDefault="001E767E" w:rsidP="009D2186">
      <w:pPr>
        <w:pStyle w:val="Caption"/>
        <w:keepNext/>
        <w:rPr>
          <w:vanish/>
        </w:rPr>
      </w:pPr>
      <w:bookmarkStart w:id="43" w:name="_Toc88218590"/>
      <w:r>
        <w:t xml:space="preserve">Table </w:t>
      </w:r>
      <w:r>
        <w:fldChar w:fldCharType="begin"/>
      </w:r>
      <w:r>
        <w:instrText xml:space="preserve"> SEQ Table \* ARABIC </w:instrText>
      </w:r>
      <w:r>
        <w:fldChar w:fldCharType="separate"/>
      </w:r>
      <w:r w:rsidR="00CD04FC">
        <w:t>2</w:t>
      </w:r>
      <w:r>
        <w:fldChar w:fldCharType="end"/>
      </w:r>
      <w:r w:rsidR="003B7A52">
        <w:t>. Anti-inflammatory and biological half-life properties of GCs</w:t>
      </w:r>
      <w:bookmarkEnd w:id="43"/>
    </w:p>
    <w:p w14:paraId="559B4567" w14:textId="245B99D0" w:rsidR="00DC1A2A" w:rsidRPr="00DC1A2A" w:rsidRDefault="00743D8A" w:rsidP="00F06CC9">
      <w:pPr>
        <w:pBdr>
          <w:top w:val="nil"/>
          <w:left w:val="nil"/>
          <w:bottom w:val="nil"/>
          <w:right w:val="nil"/>
          <w:between w:val="nil"/>
        </w:pBdr>
        <w:ind w:right="-15" w:firstLine="0"/>
        <w:jc w:val="center"/>
        <w:rPr>
          <w:b/>
          <w:bCs/>
        </w:rPr>
      </w:pPr>
      <w:r>
        <w:rPr>
          <w:noProof/>
        </w:rPr>
        <w:drawing>
          <wp:inline distT="0" distB="0" distL="0" distR="0" wp14:anchorId="1685EAE7" wp14:editId="2A91544B">
            <wp:extent cx="5285433" cy="2886732"/>
            <wp:effectExtent l="0" t="0" r="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96359" cy="2892699"/>
                    </a:xfrm>
                    <a:prstGeom prst="rect">
                      <a:avLst/>
                    </a:prstGeom>
                    <a:noFill/>
                    <a:ln>
                      <a:noFill/>
                    </a:ln>
                  </pic:spPr>
                </pic:pic>
              </a:graphicData>
            </a:graphic>
          </wp:inline>
        </w:drawing>
      </w:r>
    </w:p>
    <w:p w14:paraId="0B2B8127" w14:textId="7A75E9AD" w:rsidR="00F06CC9" w:rsidRDefault="00F06CC9" w:rsidP="001468E1">
      <w:pPr>
        <w:pStyle w:val="Heading4"/>
      </w:pPr>
      <w:bookmarkStart w:id="44" w:name="_Toc88218522"/>
      <w:r>
        <w:t>Mechanisms of Glucocorticoid</w:t>
      </w:r>
      <w:r w:rsidR="00F03569">
        <w:t>-</w:t>
      </w:r>
      <w:r>
        <w:t>Induced Atrophy</w:t>
      </w:r>
      <w:bookmarkEnd w:id="44"/>
    </w:p>
    <w:p w14:paraId="33E6B404" w14:textId="610C0DB6" w:rsidR="001B2BC1" w:rsidRPr="001B2BC1" w:rsidRDefault="001B2BC1" w:rsidP="00F06CC9">
      <w:pPr>
        <w:pBdr>
          <w:top w:val="nil"/>
          <w:left w:val="nil"/>
          <w:bottom w:val="nil"/>
          <w:right w:val="nil"/>
          <w:between w:val="nil"/>
        </w:pBdr>
        <w:ind w:right="-14"/>
      </w:pPr>
      <w:r>
        <w:t>As discussed in section 1.</w:t>
      </w:r>
      <w:r w:rsidR="00ED37BF">
        <w:t>5</w:t>
      </w:r>
      <w:r>
        <w:t>.</w:t>
      </w:r>
      <w:r w:rsidR="00ED37BF">
        <w:t>1</w:t>
      </w:r>
      <w:r>
        <w:t>, the</w:t>
      </w:r>
      <w:r w:rsidRPr="006E5062">
        <w:t xml:space="preserve"> initial mechanism of action of GCs involves the GC entering the cell membrane and binding the </w:t>
      </w:r>
      <w:r>
        <w:t>GCR.</w:t>
      </w:r>
      <w:r w:rsidRPr="006E5062">
        <w:t xml:space="preserve"> The </w:t>
      </w:r>
      <w:r>
        <w:t>GC-</w:t>
      </w:r>
      <w:r w:rsidRPr="006E5062">
        <w:t>GC</w:t>
      </w:r>
      <w:r>
        <w:t>R</w:t>
      </w:r>
      <w:r w:rsidRPr="006E5062">
        <w:t xml:space="preserve"> complex then enters the nucleus </w:t>
      </w:r>
      <w:r>
        <w:t>and homodimerizes and</w:t>
      </w:r>
      <w:r w:rsidRPr="006E5062">
        <w:t xml:space="preserve"> bind</w:t>
      </w:r>
      <w:r>
        <w:t>s</w:t>
      </w:r>
      <w:r w:rsidRPr="006E5062">
        <w:t xml:space="preserve"> to </w:t>
      </w:r>
      <w:r>
        <w:t>GRE</w:t>
      </w:r>
      <w:r w:rsidRPr="006E5062">
        <w:t>, increasing the transcription of mRNA that ha</w:t>
      </w:r>
      <w:r w:rsidR="00F03569">
        <w:t>s</w:t>
      </w:r>
      <w:r w:rsidRPr="006E5062">
        <w:t xml:space="preserve"> inhibitory effects on muscle growth. Glucocorticoids also directly induce stimulatory effects on the</w:t>
      </w:r>
      <w:r>
        <w:t xml:space="preserve"> </w:t>
      </w:r>
      <w:r w:rsidRPr="006E5062">
        <w:t xml:space="preserve">Ubiquitin-Proteasome System </w:t>
      </w:r>
      <w:r>
        <w:t>(</w:t>
      </w:r>
      <w:r w:rsidRPr="006E5062">
        <w:t>UPS</w:t>
      </w:r>
      <w:r>
        <w:t>)</w:t>
      </w:r>
      <w:r w:rsidRPr="006E5062">
        <w:t xml:space="preserve"> to increase muscle protein breakdown. </w:t>
      </w:r>
      <w:r w:rsidRPr="00126AD9">
        <w:t>To fully elucidate the mechanistic action of this process, it is first necessary to understand the process of healthy muscle growth and renewal.</w:t>
      </w:r>
      <w:r w:rsidR="00F42497">
        <w:t xml:space="preserve"> </w:t>
      </w:r>
    </w:p>
    <w:p w14:paraId="1D5C6BE9" w14:textId="41C5C46F" w:rsidR="00211E85" w:rsidRDefault="00EF51F5" w:rsidP="001468E1">
      <w:pPr>
        <w:pStyle w:val="Heading5"/>
      </w:pPr>
      <w:bookmarkStart w:id="45" w:name="_Toc88218523"/>
      <w:r>
        <w:t>Systems Involved in Synthesis and Degradation of Muscle</w:t>
      </w:r>
      <w:bookmarkEnd w:id="45"/>
    </w:p>
    <w:p w14:paraId="5CA431CA" w14:textId="68CEB5CE" w:rsidR="00CD0289" w:rsidRDefault="00EF51F5" w:rsidP="00F06CC9">
      <w:pPr>
        <w:pBdr>
          <w:top w:val="nil"/>
          <w:left w:val="nil"/>
          <w:bottom w:val="nil"/>
          <w:right w:val="nil"/>
          <w:between w:val="nil"/>
        </w:pBdr>
        <w:ind w:right="-15"/>
      </w:pPr>
      <w:r w:rsidRPr="006E5062">
        <w:t xml:space="preserve">Myofibrillar proteins are fundamental for </w:t>
      </w:r>
      <w:r w:rsidR="00F03569">
        <w:t xml:space="preserve">the </w:t>
      </w:r>
      <w:r w:rsidRPr="006E5062">
        <w:t>normal growth and renewal of muscle cells (i.e. myocytes). Muscle size is controlled by balanced rates of myofibrillar protein synthesis and degradation,</w:t>
      </w:r>
      <w:r w:rsidRPr="006E5062">
        <w:fldChar w:fldCharType="begin"/>
      </w:r>
      <w:r w:rsidR="00DA7707">
        <w:instrText xml:space="preserve"> ADDIN ZOTERO_ITEM CSL_CITATION {"citationID":"tzZYgKgn","properties":{"formattedCitation":"\\super 161\\nosupersub{}","plainCitation":"161","noteIndex":0},"citationItems":[{"id":774,"uris":["http://zotero.org/users/6281125/items/7XRPW4M2"],"uri":["http://zotero.org/users/6281125/items/7XRPW4M2"],"itemData":{"id":774,"type":"article-journal","abstract":"The rapid loss of skeletal-muscle protein during starvation and after denervation occurs primarily through increased rates of protein breakdown and activation of a non-lysosomal ATP-dependent proteolytic process. To investigate whether protein flux through the ubiquitin (Ub)-proteasome pathway is enhanced, as was suggested by related studies, we measured, using specific polyclonal antibodies, the levels of Ub-conjugated proteins in normal and atrophying muscles. The content of these critical intermediates had increased 50-250% after food deprivation in the extensor digitorum longus and soleus muscles 2 days after denervation. Like rates of proteolysis, the amount of Ub-protein conjugates and the fraction of Ub conjugated to proteins increased progressively during food deprivation and returned to normal within 1 day of refeeding. During starvation, muscles of adrenalectomized rats failed to increase protein breakdown, and they showed 50% lower levels of Ub-protein conjugates than those of starved control animals. The changes in the pools of Ub-conjugated proteins (the substrates for the 26S proteasome) thus coincided with and can account for the alterations in overall proteolysis. In this pathway, large multiubiquitinated proteins are preferentially degraded, and the Ub-protein conjugates that accumulated in atrophying muscles were of high molecular mass (&gt; 100 kDa). When innervated and denervated gastrocnemius muscles were fractionated, a significant increase in ubiquitinated proteins was found in the myofibrillar fraction, the proteins of which are preferentially degraded on denervation, but not in the soluble fraction. Thus activation of this proteolytic pathway in atrophying muscles probably occurs initially by increasing Ub conjugation to cell proteins. The resulting accumulation of Ub-protein conjugates suggests that their degradation by the 26S proteasome complex subsequently becomes rate-limiting in these catabolic states.","container-title":"Biochemical Journal","ISSN":"0264-6021","issue":"Pt 3","journalAbbreviation":"Biochem J","note":"PMID: 7741691\nPMCID: PMC1136698","page":"639-645","source":"PubMed Central","title":"Increase in ubiquitin-protein conjugates concomitant with the increase in proteolysis in rat skeletal muscle during starvation and atrophy denervation.","volume":"307","author":[{"family":"Wing","given":"S S"},{"family":"Haas","given":"A L"},{"family":"Goldberg","given":"A L"}],"issued":{"date-parts":[["1995",5,1]]}}}],"schema":"https://github.com/citation-style-language/schema/raw/master/csl-citation.json"} </w:instrText>
      </w:r>
      <w:r w:rsidRPr="006E5062">
        <w:fldChar w:fldCharType="separate"/>
      </w:r>
      <w:r w:rsidR="00DA7707" w:rsidRPr="00DA7707">
        <w:rPr>
          <w:vertAlign w:val="superscript"/>
        </w:rPr>
        <w:t>161</w:t>
      </w:r>
      <w:r w:rsidRPr="006E5062">
        <w:fldChar w:fldCharType="end"/>
      </w:r>
      <w:r w:rsidRPr="006E5062">
        <w:t xml:space="preserve"> and the maintenance of a healthy balance of myocytes is regulated by the IGF-I/PI3K/Akt/mTOR signaling pathway and the UPS.</w:t>
      </w:r>
      <w:r w:rsidRPr="006E5062">
        <w:fldChar w:fldCharType="begin"/>
      </w:r>
      <w:r w:rsidR="00DA7707">
        <w:instrText xml:space="preserve"> ADDIN ZOTERO_ITEM CSL_CITATION {"citationID":"syby0gJh","properties":{"formattedCitation":"\\super 162\\nosupersub{}","plainCitation":"162","noteIndex":0},"citationItems":[{"id":2,"uris":["http://zotero.org/users/6281125/items/THGZI2M2"],"uri":["http://zotero.org/users/6281125/items/THGZI2M2"],"itemData":{"id":2,"type":"article-journal","abstract":"A phenotypic feature of aging is skeletal muscle wasting. It is characterized by a loss of muscle mass and strength. Age-related loss of muscle mass occurs through a reduction in the rate of protein synthesis, an increase in protein degradation or a combination of both. However, the underlying mechanism is still poorly understood. To test the hypothesis that the ubiquitin-proteasome pathway contributes to this phenomenon, we studied MuRF1 and atrogin-1 expression in Tibialis Anterior muscle of aged rats. These two E3 ligases are considered as sensitive markers of muscle protein degradation by the ubiquitin-proteasome system. Our results revealed that, in skeletal muscle of aged rats, the decline in muscle mass is accompanied by an increase in the level of oxidized proteins and ubiquitin conjugates (90%) whereas the functionality of the proteasome remains constant compared to young rats. Furthermore, the level of both MuRF1 and atrogin-1 mRNA is markedly up-regulated in aged muscle (respectively ×2 and ×2.5). Taken together these data argue for the involvement of the ubiquitin-proteasome pathway in sarcopenia of fast-twitch muscle, in particular through increased expression of MuRF1 and atrogin-1. Moreover, we observed a decrease in the IGF-1/Akt signalling pathways and elevated level of TNFα mRNA in aged rat muscle. Therefore, IGF-1/Akt and TNFα represent potential mediators implicated in the regulation of MuRF1 and atrogin-1 genes during aging. © 2006 Elsevier Ireland Ltd. All rights reserved.","container-title":"Mechanisms of Ageing and Development","DOI":"10.1016/j.mad.2006.07.005","ISSN":"00476374","issue":"10","page":"794-801","title":"Atrophy-related ubiquitin ligases, atrogin-1 and MuRF1 are up-regulated in aged rat Tibialis Anterior muscle","volume":"127","author":[{"family":"Clavel","given":"Stephan"},{"family":"Coldefy","given":"Anne Sophie"},{"family":"Kurkdjian","given":"Emilie"},{"family":"Salles","given":"Jérôme"},{"family":"Margaritis","given":"Irène"},{"family":"Derijard","given":"Benoît"}],"issued":{"date-parts":[["2006"]]}}}],"schema":"https://github.com/citation-style-language/schema/raw/master/csl-citation.json"} </w:instrText>
      </w:r>
      <w:r w:rsidRPr="006E5062">
        <w:fldChar w:fldCharType="separate"/>
      </w:r>
      <w:r w:rsidR="00DA7707" w:rsidRPr="00DA7707">
        <w:rPr>
          <w:vertAlign w:val="superscript"/>
        </w:rPr>
        <w:t>162</w:t>
      </w:r>
      <w:r w:rsidRPr="006E5062">
        <w:fldChar w:fldCharType="end"/>
      </w:r>
      <w:r w:rsidRPr="006E5062">
        <w:t xml:space="preserve"> IGF-I/PI3K/Akt/mTOR signaling is a widely studied molecular pathway of muscle growth and renewal and begins with </w:t>
      </w:r>
      <w:bookmarkStart w:id="46" w:name="_Hlk34996849"/>
      <w:r w:rsidRPr="006E5062">
        <w:t xml:space="preserve">insulin-like growth factor-I (IGF-I) </w:t>
      </w:r>
      <w:bookmarkEnd w:id="46"/>
      <w:r w:rsidRPr="006E5062">
        <w:t>binding to its receptor (IGF-R) and activating insulin receptor substrate (IRS)-1. The IRS-1 activates phosphatidylinositol-3-kinase (PI3K), which is an enzyme responsible for the conversion of phosphatidylinositol-(4,5)-bisphosphate (PIP2) to phosphatidylinositol-(3,4,5)-trisphosphate (PIP3)</w:t>
      </w:r>
      <w:r w:rsidR="008E7423">
        <w:t xml:space="preserve"> -</w:t>
      </w:r>
      <w:r w:rsidRPr="006E5062">
        <w:t xml:space="preserve"> a substrate involved in many downstream signaling pathways required for cell growth.</w:t>
      </w:r>
      <w:r w:rsidRPr="006E5062">
        <w:fldChar w:fldCharType="begin"/>
      </w:r>
      <w:r w:rsidR="00DA7707">
        <w:instrText xml:space="preserve"> ADDIN ZOTERO_ITEM CSL_CITATION {"citationID":"yl7slNyr","properties":{"formattedCitation":"\\super 163\\nosupersub{}","plainCitation":"163","noteIndex":0},"citationItems":[{"id":848,"uris":["http://zotero.org/users/6281125/items/LYL7DEB8"],"uri":["http://zotero.org/users/6281125/items/LYL7DEB8"],"itemData":{"id":848,"type":"article-journal","abstract":"A highly conserved signaling pathway involving insulin-like growth factor 1 (IGF1), and a cascade of intracellular components that mediate its effects, plays a major role in the regulation of skeletal muscle growth. A central component in this cascade is the kinase Akt, also called protein kinase B (PKB), which controls both protein synthesis, via the kinases mammalian target of rapamycin (mTOR) and glycogen synthase kinase 3β (GSK3β), and protein degradation, via the transcription factors of the FoxO family. In this paper, we review the composition and function of this pathway in skeletal muscle fibers, focusing on evidence obtained in vivo by transgenic and knockout models and by muscle transient transfection experiments. Although this pathway is essential for muscle growth during development and regeneration, its role in adult muscle response to mechanical load is less clear. A full understanding of the operation of this pathway could help to design molecularly targeted therapeutics aimed at preventing muscle wasting, which occurs in a variety of pathologic contexts and in the course of aging.","container-title":"Skeletal Muscle","DOI":"10.1186/2044-5040-1-4","ISSN":"2044-5040","journalAbbreviation":"Skelet Muscle","note":"PMID: 21798082\nPMCID: PMC3143906","page":"4","source":"PubMed Central","title":"Regulation of skeletal muscle growth by the IGF1-Akt/PKB pathway: insights from genetic models","title-short":"Regulation of skeletal muscle growth by the IGF1-Akt/PKB pathway","volume":"1","author":[{"family":"Schiaffino","given":"Stefano"},{"family":"Mammucari","given":"Cristina"}],"issued":{"date-parts":[["2011",1,24]]}}}],"schema":"https://github.com/citation-style-language/schema/raw/master/csl-citation.json"} </w:instrText>
      </w:r>
      <w:r w:rsidRPr="006E5062">
        <w:fldChar w:fldCharType="separate"/>
      </w:r>
      <w:r w:rsidR="00DA7707" w:rsidRPr="00DA7707">
        <w:rPr>
          <w:vertAlign w:val="superscript"/>
        </w:rPr>
        <w:t>163</w:t>
      </w:r>
      <w:r w:rsidRPr="006E5062">
        <w:fldChar w:fldCharType="end"/>
      </w:r>
      <w:r w:rsidRPr="006E5062">
        <w:t xml:space="preserve"> Once PIP3 is activated, it stimulates protein kinase B (Akt) and the mammalian target of </w:t>
      </w:r>
      <w:hyperlink r:id="rId28" w:tooltip="Sirolimus" w:history="1">
        <w:r w:rsidRPr="006E5062">
          <w:t>rapamycin</w:t>
        </w:r>
      </w:hyperlink>
      <w:r w:rsidRPr="006E5062">
        <w:t> (mTOR), which initiates ribosomal protein S6 kinase beta-1 (S6K1) to activate factors that induce mRNA translation for muscle protein synthesis.</w:t>
      </w:r>
      <w:r w:rsidRPr="006E5062">
        <w:fldChar w:fldCharType="begin"/>
      </w:r>
      <w:r w:rsidR="00DA7707">
        <w:instrText xml:space="preserve"> ADDIN ZOTERO_ITEM CSL_CITATION {"citationID":"1gBoh1nu","properties":{"formattedCitation":"\\super 164\\nosupersub{}","plainCitation":"164","noteIndex":0},"citationItems":[{"id":795,"uris":["http://zotero.org/users/6281125/items/YWSCIN25"],"uri":["http://zotero.org/users/6281125/items/YWSCIN25"],"itemData":{"id":795,"type":"article-journal","abstract":"Sarcopenia is one of the leading causes of disability in the elderly. Despite the growing prevalence of sarcopenia, the molecular mechanisms that control agingrelated changes in muscle mass are not fully understood. The ubiquitin proteasome system is one of the major pathways that regulate muscle protein degradation, and this system plays a central role in controlling muscle size. Atrogin-1 and MuRF-1 are two E3 ubiquitin ligases that are important regulators of ubiquitin-mediated protein degradation in skeletal muscle. In this review, we will discuss: (i) aging-related changes to skeletal muscle structure and function; (ii) the regulation of protein synthesis and protein degradation by IGF-1, TGF-b, and myostatin, with emphasis on the control of atrogin-1 and MuRF-1 expression; and (iii) the potential for modulating atrogin-1 and MuRF-1 expression to treat or prevent sarcopenia.","container-title":"Endocrine","DOI":"10.1007/s12020-012-9751-7","ISSN":"1355-008X, 1559-0100","issue":"1","journalAbbreviation":"Endocrine","language":"en","page":"12-21","source":"DOI.org (Crossref)","title":"Atrogin-1, MuRF-1, and sarcopenia","volume":"43","author":[{"family":"Gumucio","given":"Jonathan P."},{"family":"Mendias","given":"Christopher L."}],"issued":{"date-parts":[["2013",2]]}}}],"schema":"https://github.com/citation-style-language/schema/raw/master/csl-citation.json"} </w:instrText>
      </w:r>
      <w:r w:rsidRPr="006E5062">
        <w:fldChar w:fldCharType="separate"/>
      </w:r>
      <w:r w:rsidR="00DA7707" w:rsidRPr="00DA7707">
        <w:rPr>
          <w:vertAlign w:val="superscript"/>
        </w:rPr>
        <w:t>164</w:t>
      </w:r>
      <w:r w:rsidRPr="006E5062">
        <w:fldChar w:fldCharType="end"/>
      </w:r>
      <w:r w:rsidR="006B0120" w:rsidRPr="006B0120">
        <w:t xml:space="preserve"> </w:t>
      </w:r>
    </w:p>
    <w:p w14:paraId="6BDE5152" w14:textId="15ACDBCB" w:rsidR="006B0120" w:rsidRPr="006E5062" w:rsidRDefault="006B0120" w:rsidP="00F06CC9">
      <w:pPr>
        <w:pBdr>
          <w:top w:val="nil"/>
          <w:left w:val="nil"/>
          <w:bottom w:val="nil"/>
          <w:right w:val="nil"/>
          <w:between w:val="nil"/>
        </w:pBdr>
        <w:ind w:right="-15"/>
      </w:pPr>
      <w:r w:rsidRPr="006E5062">
        <w:t>In contrast to the IGF-I/PI3K/Akt/mTOR pathway, the UPS is responsible for identifying and destroying damaged or excess proteins to support homeostasis.</w:t>
      </w:r>
      <w:r w:rsidRPr="006E5062">
        <w:fldChar w:fldCharType="begin"/>
      </w:r>
      <w:r w:rsidR="00DA7707">
        <w:instrText xml:space="preserve"> ADDIN ZOTERO_ITEM CSL_CITATION {"citationID":"F9kliiry","properties":{"formattedCitation":"\\super 165\\nosupersub{}","plainCitation":"165","noteIndex":0},"citationItems":[{"id":760,"uris":["http://zotero.org/users/6281125/items/ZT84TA8M"],"uri":["http://zotero.org/users/6281125/items/ZT84TA8M"],"itemData":{"id":760,"type":"article-journal","abstract":"The protein ubiquitin is a covalent modifier of proteins, including itself. The ubiquitin system encompasses the enzymes required for catalysing attachment of ubiquitin to substrates as well as proteins that bind to ubiquitinated proteins leading them to their final fate. Also included are activities that remove ubiquitin independent of, or in concert with, proteolysis of the substrate, either by the proteasome or proteases in the vacuole. In addition to ubiquitin encoded by a family of fusion proteins, there are proteins with ubiquitin-like domains, likely forming ubiquitin's β-grasp fold, but incapable of covalent modification. However, they serve as protein-protein interaction platforms within the ubiquitin system. Multi-gene families encode all of these types of activities. Within the ubiquitination machinery “half” of the ubiquitin system are redundant, partially redundant, and unique components affecting diverse developmental and environmental responses in plants. Notably, multiple aspects of biotic and abiotic stress responses require, or are modulated by, ubiquitination. Finally, aspects of the ubiquitin system have broad utility: as components to enhance gene expression or to regulate protein abundance. This review focuses on the ubiquitination machinery: ubiquitin, unique aspects about the synthesis of ubiquitin and organization of its gene family, ubiquitin activating enzymes (E1), ubiquitin conjugating enzymes (E2) and ubiquitin ligases, or E3s. Given the large number of E3s in Arabidopsis this review covers the U box, HECT and RING type E3s, with the exception of the cullin-based E3s.","container-title":"The Arabidopsis Book / American Society of Plant Biologists","DOI":"10.1199/tab.0174","ISSN":"1543-8120","journalAbbreviation":"Arabidopsis Book","note":"PMID: 25320573\nPMCID: PMC4196676","source":"PubMed Central","title":"The Ubiquitination Machinery of the Ubiquitin System","URL":"https://www.ncbi.nlm.nih.gov/pmc/articles/PMC4196676/","volume":"12","author":[{"family":"Callis","given":"Judy"}],"accessed":{"date-parts":[["2020",2,25]]},"issued":{"date-parts":[["2014",10,6]]}}}],"schema":"https://github.com/citation-style-language/schema/raw/master/csl-citation.json"} </w:instrText>
      </w:r>
      <w:r w:rsidRPr="006E5062">
        <w:fldChar w:fldCharType="separate"/>
      </w:r>
      <w:r w:rsidR="00DA7707" w:rsidRPr="00DA7707">
        <w:rPr>
          <w:vertAlign w:val="superscript"/>
        </w:rPr>
        <w:t>165</w:t>
      </w:r>
      <w:r w:rsidRPr="006E5062">
        <w:fldChar w:fldCharType="end"/>
      </w:r>
      <w:r w:rsidRPr="006E5062">
        <w:t xml:space="preserve"> The process of the UPS begins with E1 ubiquitin (Ub)-activating enzyme binding to Ub - an abundant protein found in almost all eukaryotic cells. Ub is then transferred to a second enzyme</w:t>
      </w:r>
      <w:r>
        <w:t>,</w:t>
      </w:r>
      <w:r w:rsidRPr="006E5062">
        <w:t xml:space="preserve"> E2 Ub-conjugating enzyme, which escorts Ub to </w:t>
      </w:r>
      <w:r w:rsidR="0033743F">
        <w:t xml:space="preserve">the </w:t>
      </w:r>
      <w:r w:rsidRPr="006E5062">
        <w:t>E3 ligase enzyme.</w:t>
      </w:r>
      <w:r w:rsidRPr="006E5062">
        <w:fldChar w:fldCharType="begin"/>
      </w:r>
      <w:r w:rsidR="00DA7707">
        <w:instrText xml:space="preserve"> ADDIN ZOTERO_ITEM CSL_CITATION {"citationID":"5wswwH3h","properties":{"formattedCitation":"\\super 165\\nosupersub{}","plainCitation":"165","noteIndex":0},"citationItems":[{"id":760,"uris":["http://zotero.org/users/6281125/items/ZT84TA8M"],"uri":["http://zotero.org/users/6281125/items/ZT84TA8M"],"itemData":{"id":760,"type":"article-journal","abstract":"The protein ubiquitin is a covalent modifier of proteins, including itself. The ubiquitin system encompasses the enzymes required for catalysing attachment of ubiquitin to substrates as well as proteins that bind to ubiquitinated proteins leading them to their final fate. Also included are activities that remove ubiquitin independent of, or in concert with, proteolysis of the substrate, either by the proteasome or proteases in the vacuole. In addition to ubiquitin encoded by a family of fusion proteins, there are proteins with ubiquitin-like domains, likely forming ubiquitin's β-grasp fold, but incapable of covalent modification. However, they serve as protein-protein interaction platforms within the ubiquitin system. Multi-gene families encode all of these types of activities. Within the ubiquitination machinery “half” of the ubiquitin system are redundant, partially redundant, and unique components affecting diverse developmental and environmental responses in plants. Notably, multiple aspects of biotic and abiotic stress responses require, or are modulated by, ubiquitination. Finally, aspects of the ubiquitin system have broad utility: as components to enhance gene expression or to regulate protein abundance. This review focuses on the ubiquitination machinery: ubiquitin, unique aspects about the synthesis of ubiquitin and organization of its gene family, ubiquitin activating enzymes (E1), ubiquitin conjugating enzymes (E2) and ubiquitin ligases, or E3s. Given the large number of E3s in Arabidopsis this review covers the U box, HECT and RING type E3s, with the exception of the cullin-based E3s.","container-title":"The Arabidopsis Book / American Society of Plant Biologists","DOI":"10.1199/tab.0174","ISSN":"1543-8120","journalAbbreviation":"Arabidopsis Book","note":"PMID: 25320573\nPMCID: PMC4196676","source":"PubMed Central","title":"The Ubiquitination Machinery of the Ubiquitin System","URL":"https://www.ncbi.nlm.nih.gov/pmc/articles/PMC4196676/","volume":"12","author":[{"family":"Callis","given":"Judy"}],"accessed":{"date-parts":[["2020",2,25]]},"issued":{"date-parts":[["2014",10,6]]}}}],"schema":"https://github.com/citation-style-language/schema/raw/master/csl-citation.json"} </w:instrText>
      </w:r>
      <w:r w:rsidRPr="006E5062">
        <w:fldChar w:fldCharType="separate"/>
      </w:r>
      <w:r w:rsidR="00DA7707" w:rsidRPr="00DA7707">
        <w:rPr>
          <w:vertAlign w:val="superscript"/>
        </w:rPr>
        <w:t>165</w:t>
      </w:r>
      <w:r w:rsidRPr="006E5062">
        <w:fldChar w:fldCharType="end"/>
      </w:r>
      <w:r w:rsidRPr="006E5062">
        <w:t xml:space="preserve"> E3 ligase enzyme</w:t>
      </w:r>
      <w:r w:rsidR="0033743F">
        <w:t>s</w:t>
      </w:r>
      <w:r w:rsidRPr="006E5062">
        <w:t xml:space="preserve"> recognize and bind to a target protein and act as a platform </w:t>
      </w:r>
      <w:r>
        <w:t>for</w:t>
      </w:r>
      <w:r w:rsidRPr="006E5062">
        <w:t xml:space="preserve"> the E2-Ub complex </w:t>
      </w:r>
      <w:r>
        <w:t>to</w:t>
      </w:r>
      <w:r w:rsidRPr="006E5062">
        <w:t xml:space="preserve"> transfer Ub to the target protein.</w:t>
      </w:r>
      <w:r w:rsidRPr="006E5062">
        <w:fldChar w:fldCharType="begin"/>
      </w:r>
      <w:r w:rsidR="00DA7707">
        <w:instrText xml:space="preserve"> ADDIN ZOTERO_ITEM CSL_CITATION {"citationID":"cuv7iMAy","properties":{"formattedCitation":"\\super 166\\nosupersub{}","plainCitation":"166","noteIndex":0},"citationItems":[{"id":759,"uris":["http://zotero.org/users/6281125/items/QBFHYVY4"],"uri":["http://zotero.org/users/6281125/items/QBFHYVY4"],"itemData":{"id":759,"type":"article-journal","container-title":"Annual Review of Biochemistry","DOI":"10.1146/annurev.bi.61.070192.003553","issue":"1","note":"_eprint: https://doi.org/10.1146/annurev.bi.61.070192.003553\nPMID: 1323239","page":"761-807","source":"Annual Reviews","title":"The Ubiquitin System for Protein Degradation","volume":"61","author":[{"family":"Hershko","given":"Avram"},{"family":"Ciechanover","given":"Aaron"}],"issued":{"date-parts":[["1992"]]}}}],"schema":"https://github.com/citation-style-language/schema/raw/master/csl-citation.json"} </w:instrText>
      </w:r>
      <w:r w:rsidRPr="006E5062">
        <w:fldChar w:fldCharType="separate"/>
      </w:r>
      <w:r w:rsidR="00DA7707" w:rsidRPr="00DA7707">
        <w:rPr>
          <w:vertAlign w:val="superscript"/>
        </w:rPr>
        <w:t>166</w:t>
      </w:r>
      <w:r w:rsidRPr="006E5062">
        <w:fldChar w:fldCharType="end"/>
      </w:r>
      <w:r w:rsidRPr="006E5062">
        <w:t xml:space="preserve"> This process is repeated to produce a </w:t>
      </w:r>
      <w:r>
        <w:t>polyubiquitin</w:t>
      </w:r>
      <w:r w:rsidRPr="006E5062">
        <w:t xml:space="preserve"> chain attached to the target protein. A protein complex responsible for breaking down proteins, called a proteasome, recognizes and binds to the polyubiquitin chain. The target protein is released from the polyubiquitin chain, unfolded, and catalyzed for entry into the proteasome where protein degradation occurs.</w:t>
      </w:r>
      <w:r w:rsidRPr="006E5062">
        <w:fldChar w:fldCharType="begin"/>
      </w:r>
      <w:r w:rsidR="00DA7707">
        <w:instrText xml:space="preserve"> ADDIN ZOTERO_ITEM CSL_CITATION {"citationID":"DTRGWwd5","properties":{"formattedCitation":"\\super 167\\nosupersub{}","plainCitation":"167","noteIndex":0},"citationItems":[{"id":747,"uris":["http://zotero.org/users/6281125/items/DWWE5VHI"],"uri":["http://zotero.org/users/6281125/items/DWWE5VHI"],"itemData":{"id":747,"type":"article-journal","container-title":"New England Journal of Medicine","DOI":"10.1056/NEJM199612193352507","ISSN":"0028-4793, 1533-4406","issue":"25","journalAbbreviation":"N Engl J Med","language":"en","page":"1897-1905","source":"DOI.org (Crossref)","title":"Mechanisms of Muscle Wasting — The Role of the Ubiquitin–Proteasome Pathway","volume":"335","editor":[{"family":"Epstein","given":"Franklin H."}],"author":[{"family":"Mitch","given":"William E."},{"family":"Goldberg","given":"Alfred L."}],"issued":{"date-parts":[["1996",12,19]]}}}],"schema":"https://github.com/citation-style-language/schema/raw/master/csl-citation.json"} </w:instrText>
      </w:r>
      <w:r w:rsidRPr="006E5062">
        <w:fldChar w:fldCharType="separate"/>
      </w:r>
      <w:r w:rsidR="00DA7707" w:rsidRPr="00DA7707">
        <w:rPr>
          <w:vertAlign w:val="superscript"/>
        </w:rPr>
        <w:t>167</w:t>
      </w:r>
      <w:r w:rsidRPr="006E5062">
        <w:fldChar w:fldCharType="end"/>
      </w:r>
      <w:r w:rsidRPr="006E5062">
        <w:t xml:space="preserve"> This highly regulated system assures that ubiquitin is specifically attached to target proteins to avoid unintended protein destruction.</w:t>
      </w:r>
    </w:p>
    <w:p w14:paraId="4AE296EC" w14:textId="1250D4DB" w:rsidR="006B0120" w:rsidRDefault="006B0120" w:rsidP="00F06CC9">
      <w:pPr>
        <w:pBdr>
          <w:top w:val="nil"/>
          <w:left w:val="nil"/>
          <w:bottom w:val="nil"/>
          <w:right w:val="nil"/>
          <w:between w:val="nil"/>
        </w:pBdr>
        <w:ind w:right="-15"/>
      </w:pPr>
      <w:r w:rsidRPr="006E5062">
        <w:t>Although most eukaryotic cells only contain a single type of E1 enzyme, they have several types of protein-specific E3 ligases.</w:t>
      </w:r>
      <w:r w:rsidRPr="006E5062">
        <w:fldChar w:fldCharType="begin"/>
      </w:r>
      <w:r w:rsidR="00DA7707">
        <w:instrText xml:space="preserve"> ADDIN ZOTERO_ITEM CSL_CITATION {"citationID":"eFIQwAq5","properties":{"formattedCitation":"\\super 168\\nosupersub{}","plainCitation":"168","noteIndex":0},"citationItems":[{"id":847,"uris":["http://zotero.org/users/6281125/items/PLEFMBXH"],"uri":["http://zotero.org/users/6281125/items/PLEFMBXH"],"itemData":{"id":847,"type":"article-journal","abstract":"Several ubiquitin ligases are altered in cancer. These proteins are crucial for the ubiquitin-mediated degradation of cell-cycle proteins, ensuring regulated progression through the cycle. Understanding the mechanistic roles of these ligases is therefore of great importance.","container-title":"Nature Reviews Cancer","DOI":"10.1038/nrc1881","ISSN":"1474-1768","issue":"5","language":"en","note":"number: 5\npublisher: Nature Publishing Group","page":"369-381","source":"www.nature.com","title":"Ubiquitin ligases: cell-cycle control and cancer","title-short":"Ubiquitin ligases","volume":"6","author":[{"family":"Nakayama","given":"Keiichi I."},{"family":"Nakayama","given":"Keiko"}],"issued":{"date-parts":[["2006",5]]}}}],"schema":"https://github.com/citation-style-language/schema/raw/master/csl-citation.json"} </w:instrText>
      </w:r>
      <w:r w:rsidRPr="006E5062">
        <w:fldChar w:fldCharType="separate"/>
      </w:r>
      <w:r w:rsidR="00DA7707" w:rsidRPr="00DA7707">
        <w:rPr>
          <w:vertAlign w:val="superscript"/>
        </w:rPr>
        <w:t>168</w:t>
      </w:r>
      <w:r w:rsidRPr="006E5062">
        <w:fldChar w:fldCharType="end"/>
      </w:r>
      <w:r w:rsidRPr="006E5062">
        <w:t xml:space="preserve"> Different E3 ligases recognize and bind to different target proteins. </w:t>
      </w:r>
      <w:bookmarkStart w:id="47" w:name="_Hlk34996662"/>
      <w:r w:rsidRPr="006E5062">
        <w:t xml:space="preserve">Muscle-specific E3 ligases include </w:t>
      </w:r>
      <w:r>
        <w:t>m</w:t>
      </w:r>
      <w:r w:rsidRPr="006E5062">
        <w:t>uscle atrophy F-</w:t>
      </w:r>
      <w:r>
        <w:t>b</w:t>
      </w:r>
      <w:r w:rsidRPr="006E5062">
        <w:t xml:space="preserve">ox (also known as atrogin-1) and </w:t>
      </w:r>
      <w:r>
        <w:t>m</w:t>
      </w:r>
      <w:r w:rsidRPr="006E5062">
        <w:t>uscle RING (really interesting new gene) Finger-1 (MuRF-1),</w:t>
      </w:r>
      <w:r w:rsidRPr="006E5062">
        <w:fldChar w:fldCharType="begin"/>
      </w:r>
      <w:r w:rsidR="00DA7707">
        <w:instrText xml:space="preserve"> ADDIN ZOTERO_ITEM CSL_CITATION {"citationID":"HwDbAyGj","properties":{"formattedCitation":"\\super 169\\nosupersub{}","plainCitation":"169","noteIndex":0},"citationItems":[{"id":794,"uris":["http://zotero.org/users/6281125/items/UCNIVBP2"],"uri":["http://zotero.org/users/6281125/items/UCNIVBP2"],"itemData":{"id":794,"type":"article-journal","abstract":"Skeletal muscle atrophy occurs in many chronic diseases and disuse conditions. Its severity reduces patient recovery, independence and quality of life. The discovery of two muscle-specific E3 ubiquitin ligases, MAFbx/ atrogin-1 and Muscle RING Finger-1 (MuRF1), promoted an expectation of these molecules as targets for therapeutic development. While numerous studies have determined the conditions in which MAFbx/atrogin-1 and MuRF1 mRNA levels are regulated, few studies have investigated their functional role in skeletal muscle. Recently, studies identifying new target substrates for MAFbx/atrogin-1 and MuRF1, outside of their response to the initiation of muscle atrophy, suggest that there is more to these proteins than previously appreciated. This review will highlight our present knowledge of MAFbx/atrogin-1 and MuRF1 in skeletal muscle atrophy, the impact of potential therapeutics and their known regulators and substrates. Finally, we will comment on new approaches that may expand our knowledge of these two molecules in their control of skeletal muscle function.","container-title":"Pflügers Archiv - European Journal of Physiology","DOI":"10.1007/s00424-010-0919-9","ISSN":"0031-6768, 1432-2013","issue":"3","journalAbbreviation":"Pflugers Arch - Eur J Physiol","language":"en","page":"325-335","source":"DOI.org (Crossref)","title":"The role and regulation of MAFbx/atrogin-1 and MuRF1 in skeletal muscle atrophy","volume":"461","author":[{"family":"Foletta","given":"Victoria C."},{"family":"White","given":"Lloyd J."},{"family":"Larsen","given":"Amy E."},{"family":"Léger","given":"Bertrand"},{"family":"Russell","given":"Aaron P."}],"issued":{"date-parts":[["2011",3]]}}}],"schema":"https://github.com/citation-style-language/schema/raw/master/csl-citation.json"} </w:instrText>
      </w:r>
      <w:r w:rsidRPr="006E5062">
        <w:fldChar w:fldCharType="separate"/>
      </w:r>
      <w:r w:rsidR="00DA7707" w:rsidRPr="00DA7707">
        <w:rPr>
          <w:vertAlign w:val="superscript"/>
        </w:rPr>
        <w:t>169</w:t>
      </w:r>
      <w:r w:rsidRPr="006E5062">
        <w:fldChar w:fldCharType="end"/>
      </w:r>
      <w:r w:rsidRPr="006E5062">
        <w:t xml:space="preserve"> </w:t>
      </w:r>
      <w:bookmarkEnd w:id="47"/>
      <w:r w:rsidRPr="006E5062">
        <w:t>and the</w:t>
      </w:r>
      <w:r>
        <w:t>ir corresponding</w:t>
      </w:r>
      <w:r w:rsidRPr="006E5062">
        <w:t xml:space="preserve"> genes have been upregulated in several atrophy models. For example, De Boer et al.</w:t>
      </w:r>
      <w:r w:rsidRPr="006E5062">
        <w:fldChar w:fldCharType="begin"/>
      </w:r>
      <w:r w:rsidR="00DA7707">
        <w:instrText xml:space="preserve"> ADDIN ZOTERO_ITEM CSL_CITATION {"citationID":"AVH07ApZ","properties":{"formattedCitation":"\\super 170\\nosupersub{}","plainCitation":"170","noteIndex":0},"citationItems":[{"id":805,"uris":["http://zotero.org/users/6281125/items/B36YEVTC"],"uri":["http://zotero.org/users/6281125/items/B36YEVTC"],"itemData":{"id":805,"type":"article-journal","abstract":"We hypothesized that rates of myofibrillar and patellar tendon collagen synthesis would fall over time during disuse, the changes being accompanied in muscle by decreases in focal adhesion kinase (FAK) phosphorylation and in gene expression for proteolytic enzymes. We studied nine men (22 +/- 4 years, BMI 24 +/- 3 kg m(-2) (means +/- s.d.) who underwent unilateral lower leg suspension for 23 days; five were studied between 0 and 10 days and four between 10 and 21 days. Muscle and tendon biopsies were taken in the postabsorptive state at days 0, 10 and 21 for measurement of protein synthesis, gene expression and protein phosphorylation. Muscle cross-sectional area decreased by 5.2% at 14 days and 10.0% (both P &lt; 0.001), at 23 days, i.e. 0.5% day(-1), whereas tendon dimensions were constant. Rates of myofibrillar protein synthesis fell (P &lt; 0.01) from 0.047% h(-1) at day 0 to 0.022% h(-1) at 10 days without further changes. Tendon collagen synthetic rates also fell (P &lt; 0.01), from 0.052 to 0.023% h(-1) at 10 days and then to 0.010% h(-1) at 21 days. FAK phosphorylation decreased 30% (P &lt; 0.01) at 10 days. No changes occurred in the amounts/phosphorylation of PKB-P70s6k-mTOR pathway components. Expression of mRNA for MuRF-1 increased approximately 3-fold at 10 days without changes in MAFbx or tripeptidyl peptidase II mRNA, but all decreased between 10 and 21 days. Thus, both myofibrillar and tendon protein synthetic rates show progressive decreases during 21 days of disuse; in muscle, this is accompanied by decreased phosphorylation of FAK, with no marked increases in genes for proteolytic enzymes.","container-title":"The Journal of Physiology","DOI":"10.1113/jphysiol.2007.142828","ISSN":"0022-3751","issue":"Pt 1","journalAbbreviation":"J. Physiol. (Lond.)","language":"eng","note":"PMID: 17901116\nPMCID: PMC2375459","page":"241-251","source":"PubMed","title":"The temporal responses of protein synthesis, gene expression and cell signalling in human quadriceps muscle and patellar tendon to disuse","volume":"585","author":[{"family":"Boer","given":"Maarten D.","non-dropping-particle":"de"},{"family":"Selby","given":"Anna"},{"family":"Atherton","given":"Philip"},{"family":"Smith","given":"Ken"},{"family":"Seynnes","given":"Olivier R."},{"family":"Maganaris","given":"Constantinos N."},{"family":"Maffulli","given":"Nicola"},{"family":"Movin","given":"Tomas"},{"family":"Narici","given":"Marco V."},{"family":"Rennie","given":"Michael J."}],"issued":{"date-parts":[["2007",11,15]]}}}],"schema":"https://github.com/citation-style-language/schema/raw/master/csl-citation.json"} </w:instrText>
      </w:r>
      <w:r w:rsidRPr="006E5062">
        <w:fldChar w:fldCharType="separate"/>
      </w:r>
      <w:r w:rsidR="00DA7707" w:rsidRPr="00DA7707">
        <w:rPr>
          <w:vertAlign w:val="superscript"/>
        </w:rPr>
        <w:t>170</w:t>
      </w:r>
      <w:r w:rsidRPr="006E5062">
        <w:fldChar w:fldCharType="end"/>
      </w:r>
      <w:r w:rsidRPr="006E5062">
        <w:t xml:space="preserve">  investigated muscle cross-sectio</w:t>
      </w:r>
      <w:r w:rsidR="00BF21BB">
        <w:t>nal</w:t>
      </w:r>
      <w:r w:rsidRPr="006E5062">
        <w:t xml:space="preserve"> area </w:t>
      </w:r>
      <w:r>
        <w:t xml:space="preserve">(CSA) </w:t>
      </w:r>
      <w:r w:rsidRPr="006E5062">
        <w:t xml:space="preserve">and </w:t>
      </w:r>
      <w:r w:rsidRPr="008B1CDD">
        <w:t>MuRF-1</w:t>
      </w:r>
      <w:r w:rsidRPr="006E5062">
        <w:t xml:space="preserve"> gene expression of leg muscle biopsies from men subjected to unilateral lower leg suspension for 23</w:t>
      </w:r>
      <w:r w:rsidR="00C41CA1">
        <w:t>-</w:t>
      </w:r>
      <w:r w:rsidRPr="006E5062">
        <w:t xml:space="preserve">days. </w:t>
      </w:r>
      <w:r w:rsidR="00D22394">
        <w:t>On</w:t>
      </w:r>
      <w:r w:rsidRPr="006E5062">
        <w:t xml:space="preserve"> day 10, rates of myofibrillar protein synthesis and muscle fiber size significantly decreased, and </w:t>
      </w:r>
      <w:r w:rsidRPr="008B1CDD">
        <w:t>MuRF-1</w:t>
      </w:r>
      <w:r w:rsidRPr="006E5062">
        <w:t xml:space="preserve"> mRNA significantly increased compared to baseline measures. Similarly, increases in </w:t>
      </w:r>
      <w:r w:rsidRPr="007E36F3">
        <w:t xml:space="preserve">MuRF-1 and </w:t>
      </w:r>
      <w:r w:rsidR="007E36F3">
        <w:t>a</w:t>
      </w:r>
      <w:r w:rsidRPr="007E36F3">
        <w:t>trogin-1</w:t>
      </w:r>
      <w:r w:rsidRPr="006E5062">
        <w:t xml:space="preserve"> mRNA in hind leg biopsies have been observed in the days and weeks following experimentally applied limb immobilization.</w:t>
      </w:r>
      <w:r w:rsidRPr="006E5062">
        <w:fldChar w:fldCharType="begin"/>
      </w:r>
      <w:r w:rsidR="00DA7707">
        <w:instrText xml:space="preserve"> ADDIN ZOTERO_ITEM CSL_CITATION {"citationID":"nlBtDb1P","properties":{"formattedCitation":"\\super 171,172\\nosupersub{}","plainCitation":"171,172","noteIndex":0},"citationItems":[{"id":804,"uris":["http://zotero.org/users/6281125/items/RTEFX3ZQ"],"uri":["http://zotero.org/users/6281125/items/RTEFX3ZQ"],"itemData":{"id":804,"type":"article-journal","abstract":"SPECIFIC AIMSAfter injury such as head trauma or stroke and during illness such as cancer and AIDS there is significant loss of skeletal muscle mass, paralleled by a loss of muscle function. The aim of this study was to provide a comprehensive profiling of a number of candidate genes associated with atrophy and anabolism during immobilization and subsequent exercise rehabilitation and relate these changes to measurements of muscle mass and function in humans, thereby gaining clearer insights into the pathways responsible for skeletal muscle atrophy and subsequent rehabilitation in humans.PRINCIPAL FINDINGSAfter medical screening, nine untrained, healthy men (18-30 y) participated in this study, which was approved by the University of Nottingham Medical School Ethics Committee. Measurements of lean mass, muscle function, and gene expression (from needle muscle biopsies) were determined before and after immobilization and at various points throughout the exercise rehabilitation, as illustrated in Fig. 1</w:instrText>
      </w:r>
      <w:r w:rsidR="00DA7707">
        <w:rPr>
          <w:rFonts w:ascii="Cambria Math" w:hAnsi="Cambria Math" w:cs="Cambria Math"/>
        </w:rPr>
        <w:instrText>⤻</w:instrText>
      </w:r>
      <w:r w:rsidR="00DA7707">
        <w:instrText xml:space="preserve"> .Figure 1. Diagrammatic representation of study protocol. Resting biopsies (Δ) were taken before and immediately after immobilization and at 24 h, 1 and 6 wk of rehabilitation training. Biopsies were obtained immediately after an acute bout of exercise (</w:instrText>
      </w:r>
      <w:r w:rsidR="00DA7707">
        <w:rPr>
          <w:rFonts w:ascii="Cambria Math" w:hAnsi="Cambria Math" w:cs="Cambria Math"/>
        </w:rPr>
        <w:instrText>▴</w:instrText>
      </w:r>
      <w:r w:rsidR="00DA7707">
        <w:instrText xml:space="preserve">) and at 24 h and 6 wk of rehabilitation training. DEXA scans (○) were obtained before and immediately after immobilization and at 1 and 6 wk of rehabilitation training. Isokinetic and isometric muscle function (▪) was measured before and immediately after immobilization and at 1, 4, and 6 wk of training.Download figure Download PowerPointWe profiled the expression of 14 genes from multiple pathways previously implicated by animal studies in regulating muscle protein synthesis and degradation. We examined the role of the calpain proteolytic system by measuring the expression of calpain 1, calpain 2, and calpain 3 proteases and expression of the specific endogenous calpain inhibitor calpastatin. Exercise-induced muscle damage and remodeling have been linked to changes in the calpain system, and overexpression of calpastatin in a transgenic mouse model has been found to reduce the extent of wasting during muscle unloading. We assessed the involvement of the ubiquitin-dependent proteolytic system, which has been linked to muscle atrophy in multiple clinical settings, by monitoring expression of the 20S proteasome α7 subunit and of ubiquitin E3 ligases: E3α, muscle-specific muscle ring finger 1 (MuRF1), and muscle atrophy box factor (MAFbx). The two latter ligases have been shown to be intimately linked to muscle wasting with animal models in multiple catabolic conditions. To determine the role of the IGF-1 signaling pathway in disuse atrophy and subsequent exercise-stimulated hypertrophy, we assessed the phosphatidylinositol-3-OH kinase PI(3)K/Akt pathway by measuring the expression of glycogen synthase kinase 3α (GSK3-α) deactivated by Akt and the calcineurin NFAT pathway by measuring casein kinase-1α (CK1-α) and p38 Map kinase (p38 MAPK), both of which have been reported to affect calcineurin-NFAT-mediated hypertrophy. We also examined the role of nuclear factor kappaB (NF-κB) survival pathways by measuring the expression of inhibitory κB kinase β (IKK-β), since atrophy induced by rat hind limb unloading has been shown to increase NF-κB p50 subunit activity. Finally, we measured the expression of myostatin, a member of the TGF-β superfamily, and the TGF-β binding receptor, activin receptor IIB (ActRIIB). Myostatin is a purported negative mediator of muscle mass, since myostatin knockout mice exhibit gross hypertrophy.1. Identification of candidate genes that mediate human skeletal muscle atrophyFour days before immobilization, a needle biopsy sample was taken at rest from the vastus lateralis muscle and immediately frozen in liquid nitrogen for subsequent basal gene expression analysis. Basal measurements of lean mass of the left thigh region were determined by Dual X-Ray Absortiometry. Maximal isometric strength (kg) of the knee extensor muscles was determined during a static voluntary contraction with subjects securely seated with the knee flexed at 90°, using an isometric strain gauge coupled to a digitized recorder. Isokinetic work by the knee extensors was measured by subjects performing 30 consecutive maximal knee extensor contractions at an angular velocity of 90°/s while securely seated in a Cybex dynamometer. To induce muscle atrophy, the left leg of each subject was immobilized at a knee angle of </w:instrText>
      </w:r>
      <w:r w:rsidR="00DA7707">
        <w:rPr>
          <w:rFonts w:ascii="Cambria Math" w:hAnsi="Cambria Math" w:cs="Cambria Math"/>
        </w:rPr>
        <w:instrText>∼</w:instrText>
      </w:r>
      <w:r w:rsidR="00DA7707">
        <w:instrText xml:space="preserve">160° for 2 wk by the fitting of a light polyester cast, reaching from groin to the toes. Immediately after removal of the cast, a second muscle biopsy was obtained at rest, then further measurements of lean mass and muscle function were made.Immobilization for 2 wk caused a reduction in quadriceps lean mass (skeletal muscle mass) of 4.7 ± 0.9% (P&lt;0.001), reduced isometric strength by 27 ± 3% (P&lt;0.001), and reduced peak and total isokinetic work by 22 ± 3% (P&lt;0.01) and 21 ± 3% (P&lt;0.01), respectively, compared with basal. Immobilization caused a number of profound changes in gene expression, most notably in the ubiquitin proteasome system with increased expression of the 20S proteasome α7-subunit by 26% (P&lt;0.05) and the muscle-specific E3 ligase MAFbx by 62% (P&lt;0.01). There was a trend for an up-regulation in the muscle-specific ligase, MuRF1, which was increased on average by 34% (P=0.1). There was no change in expression of the ubiquitously-expressed E3α ligase. There was a 28% increase in expression of GSK3-α (P&lt;0.01) and a reduction in expression of the muscle-specific calpain 3 (p94; 36%, P&lt;0.001) compared with basal.2. Muscle contraction performed immediately after immobilization instigates rapid and marked changes in anabolic and catabolic genes associated with the suppression of muscle catabolism and the instigation of muscle hypertrophy and remodelingAfter removal of the polyester cast, subjects performed 5 bouts of 30 supervised and consecutive maximal intensity isokinetic knee extensions (each bout separated by 1 min rest) from a position of 90–180° knee flexion and at an angular velocity of 180°/s while securely seated in a Cybex isokinetic dynamometer. The next day, 24 h after the removal of the cast (and the first bout of rehabilitation training), another resting needle muscle biopsy was obtained to determine the effect of contraction performed immediately after a period of immobilization on gene expression. Compared with immediate postimmobilization, there was a significant reduction in muscle-specific ligases MAFbx (39%, P&lt;0.01) and MuRF1, (33%, P&lt;0.05). There was a significant reduction in myostatin expression (48%, P&lt;0.05) but no change in the expression of the myostatin binding receptor ActRIIB. Expression of calpain 1 (32%, P&lt;0.05), calpain 2 (109%, P&lt;0.001), calpastatin (87%, P&lt;0.001), IKK-β (37%, P&lt;0.05), and CK1-α (68%, P&lt;0.01) was significantly increased compared with immediately postimmobilization.3. Exercise rehabilitation has a chronic affect on gene expression associated with training induced muscle remodeling and restoration of massAfter removal of the polyester cast, subjects entered a 6 wk program of rehabilitation training that involved reporting to the laboratory on three occasions each week and performing 5 bouts of 30 maximal isokinetic knee extensions (each separated by 1 min) at a velocity 180°/s while supervised. After 6 wk of exercise training, lean mass was significantly greater than immediately postimmobilization (P&lt;0.001) and had returned to basal (P=0.81). In line with this restoration of muscle mass, exercise rehabilitation led to a return in muscle function. After 4 wk of exercise rehabilitation, isometric strength increased by 23% compared with immediately postimmobilization (P&lt;0.01) and was no different from basal. After 6 wk rehabilitation, isometric strength was further improved and was on average 10% greater than basal (P=0.17). Plotting isometric strength (kg) against lean mass (g) showed a significant positive correlation over the course of the 8 wk experiment (r=0.46, P&lt;0.01). Peak and total isokinetic work were increased by 36% and 28%, respectively, after 4 wk of exercise rehabilitation compared with postimmobilization values (both P&lt;0.001) and returned to basal preimmobilization values. After 6 wk of rehabilitation, peak (P&lt;0.001) and total (P&lt;0.001) isokinetic work was significantly greater than basal values.To determine the effect of chronic exercise rehabilitation on gene expression, needle biopsies were taken after 1 and 6 wk of exercise rehabilitation. With exercise rehabilitation, expression of the 20S proteasome α7 subunit, calpain 2, calpain 3, calpastatin, IKK-β, and CK1-α all returned to basal levels. In contrast, after 1 wk of rehabilitation, calpain 1 expression increased another 18% from the 24 h exercise point (P=0.056) and remained significantly greater than basal expression after 6 wk of exercise rehabilitation (P&lt;0.05). The continuation of rehabilitation training for 6 wk maintained myostatin expression at a significantly lower level than basal (P&lt;0.05), again with no change in expression of the ActRIIB receptor.CONCLUSIONS AND SIGNIFICANCEFor the first time we have provided a comprehensive profiling of genes recently associated with atrophy and anabolism during immobilization and subsequent rehabilitation in humans, together with functional outcomes. We report compelling evidence to indicate that human skeletal muscle disuse atrophy is linked to altered expression of the 20S proteasome and the muscle-specific proteolytic genes MAFbx, MuRF1, and calpain 3. There was no change in the expression of genes associated with muscle hypertrophy and remodeling during immobilization, with the exception of the purported dominant negative IGF-1 mediator, GSK3-α, which increased.We also show that muscle contraction performed immediately after immobilization rapidly instigates profound changes in gene expression collectively linked to the suppression of muscle catabolism and the instigation of muscle hypertrophy and remodeling, with a decline in MAFbx, MuRF1, and myostatin expression and increased expression of calpain 1, calpain 2, calpastatin, IKK-β, and CK1-α observed within 24 h. Finally, we report that after immobilization, exercise training has a chronic effect on gene expression, with myostatin down-regulated and calpain 1 expression up-regulated throughout the 6 wk of rehabilitation, possibly linked to training-induced remodeling of muscle after the restoration of mass. These changes in gene expression and associated changes to muscle mass and function reported here provide critical insight into the pathways responsible for skeletal muscle atrophy and subsequent rehabilitation in humans and should be of considerable value when attempting to develop future therapeutics and biomarkers of clinical efficacy.1To read the full text of this article, go to  http://www.fasebj.org/cgi/doi/10.1096/fj.03-1228fje;Figure 2. Schematic diagram.Download figure Download PowerPoint","container-title":"The FASEB Journal","DOI":"10.1096/fj.03-1228fje","ISSN":"0892-6638","issue":"9","journalAbbreviation":"The FASEB Journal","note":"publisher: Federation of American Societies for Experimental Biology","page":"1025-1027","source":"fasebj.org (Atypon)","title":"Disuse atrophy and exercise rehabilitation in humans profoundly affects the expression of genes associated with the regulation of skeletal muscle mass","volume":"18","author":[{"family":"Jones","given":"Simon W."},{"family":"Hill","given":"Roger J."},{"family":"Krasney","given":"Philip A."},{"family":"O’conner","given":"Barbara"},{"family":"Peirce","given":"Nicholas"},{"family":"Greenhaff","given":"Paul L."}],"issued":{"date-parts":[["2004",4,14]]}}},{"id":803,"uris":["http://zotero.org/users/6281125/items/PYRX99IL"],"uri":["http://zotero.org/users/6281125/items/PYRX99IL"],"itemData":{"id":803,"type":"article-journal","abstract":"Disuse atrophy is a common clinical phenomenon that significantly impacts muscle function and activities of daily living. The purpose of this study was to implement genome-wide expression profiling to identify transcriptional pathways associated with muscle remodeling in a clinical model of disuse. Skeletal muscle biopsies were acquired from the medial gastrocnemius in patients with an ankle fracture and from healthy volunteers subjected to 4–11 days of cast immobilization. We identified 277 misregulated transcripts in immobilized muscles of patients, of which the majority were downregulated. The most broadly affected pathways were involved in energy metabolism, mitochondrial function, and cell cycle regulation. We also found decreased expression in genes encoding proteolytic proteins, calpain-3 and calpastatin, and members of the myostatin and IGF-I pathway. Only 26 genes showed increased expression in immobilized muscles, including apolipoprotein (APOD) and leptin receptor (LEPR). Upregulation of APOD (5.0-fold, P &lt; 0.001) and LEPR (5.7-fold, P &lt; 0.05) was confirmed by quantitative RT-PCR and immunohistochemistry. In addition, atrogin-1/MAFbx was found to be 2.4-fold upregulated ( P &lt; 0.005) by quantitative RT-PCR. Interestingly, 96% of the transcripts differentially regulated in immobilized limbs also showed the same trend of change in the contralateral legs of patients but not the contralateral legs of healthy volunteers. Information obtained in this study complements findings in animal models of disuse and provides important feedback for future clinical studies targeting the restoration of muscle function following limb disuse in humans.","container-title":"Physiological Genomics","DOI":"10.1152/physiolgenomics.00115.2006","ISSN":"1094-8341, 1531-2267","issue":"3","journalAbbreviation":"Physiological Genomics","language":"en","page":"510-520","source":"DOI.org (Crossref)","title":"Transcriptional pathways associated with skeletal muscle disuse atrophy in humans","volume":"31","author":[{"family":"Chen","given":"Yi-Wen"},{"family":"Gregory","given":"Chris M."},{"family":"Scarborough","given":"Mark T."},{"family":"Shi","given":"Rongye"},{"family":"Walter","given":"Glenn A."},{"family":"Vandenborne","given":"Krista"}],"issued":{"date-parts":[["2007",11]]}}}],"schema":"https://github.com/citation-style-language/schema/raw/master/csl-citation.json"} </w:instrText>
      </w:r>
      <w:r w:rsidRPr="006E5062">
        <w:fldChar w:fldCharType="separate"/>
      </w:r>
      <w:r w:rsidR="00DA7707" w:rsidRPr="00DA7707">
        <w:rPr>
          <w:vertAlign w:val="superscript"/>
        </w:rPr>
        <w:t>171,172</w:t>
      </w:r>
      <w:r w:rsidRPr="006E5062">
        <w:fldChar w:fldCharType="end"/>
      </w:r>
      <w:r w:rsidRPr="006E5062">
        <w:t xml:space="preserve"> Other studies in humans showing increases in atrophy associated genes resulting from muscle unloading or immobilization</w:t>
      </w:r>
      <w:r w:rsidRPr="006E5062">
        <w:fldChar w:fldCharType="begin"/>
      </w:r>
      <w:r w:rsidR="00DA7707">
        <w:instrText xml:space="preserve"> ADDIN ZOTERO_ITEM CSL_CITATION {"citationID":"WgvGNmQ6","properties":{"formattedCitation":"\\super 173\\nosupersub{}","plainCitation":"173","noteIndex":0},"citationItems":[{"id":802,"uris":["http://zotero.org/users/6281125/items/IC57QA8J"],"uri":["http://zotero.org/users/6281125/items/IC57QA8J"],"itemData":{"id":802,"type":"article-journal","abstract":"Changes in skeletal muscle mass are controlled by mechanisms that dictate protein synthesis or degradation. The current human study explored whether changes in activation of the phosphoinositide 3-kinase (PI3K)-Akt1, p38, myostatin, and mRNA expression of markers of protein degradation and synthesis occur soon after withdrawal of weight bearing. Biopsies of the vastus lateralis muscle (VL) and soleus muscle (Sol) were obtained from eight healthy men before and following 3 days of unilateral lower limb suspension (ULLS). Akt1, Forkhead box class O (FOXO)-1A, FOXO-3A, p38, and eukaryotic translation initiation factor 4E binding protein 1 (4E-BP1) phosphorylation and protein levels and myostatin protein level were analyzed by Western blot. Levels of mRNA of IGF1, FOXO-1A, FOXO-3A, atrogin-1, MuRF-1, caspase-3, calpain-2, calpain-3, 4E-BP1, and myostatin were measured using real-time PCR. The amounts of phosphorylated Akt1, FOXO-1A, FOXO-3A, and p38 were unaltered (P &gt; 0.05) after ULLS. Similarly, mRNA levels of IGF1, FOXO-1A, FOXO-3A, caspase-3, calpain-2, and calpain-3 showed no changes (P &gt; 0.05). The mRNA levels of atrogin-1 and MuRF-1, as well as the mRNA and protein phosphorylation of 4E-BP1, increased (P &lt; 0.05) in VL but not in Sol. Both muscles showed increased (P &lt; 0.05) myostatin mRNA and protein following ULLS. These results suggest that pathways other than PI3K-Akt stimulate atrogin-1 and MuRF-1 expression within 3 days of ULLS. Alternatively, transient changes in these pathways occurred in the early phase of ULLS. The increased myostatin mRNA and protein expression also indicate that multiple processes are involved in the early phase of muscle wasting. Further, the reported difference in gene expression pattern across muscles suggests that mechanisms regulating protein content in human skeletal muscle are influenced by phenotype and/or function.","container-title":"Journal of Applied Physiology","DOI":"10.1152/japplphysiol.00110.2009","ISSN":"8750-7587","issue":"3","journalAbbreviation":"Journal of Applied Physiology","note":"publisher: American Physiological Society","page":"721-727","source":"journals.physiology.org (Atypon)","title":"Effects of 3 days unloading on molecular regulators of muscle size in humans","volume":"109","author":[{"family":"Gustafsson","given":"T."},{"family":"Osterlund","given":"T."},{"family":"Flanagan","given":"J. N."},{"family":"Waldén","given":"F.","non-dropping-particle":"von"},{"family":"Trappe","given":"T. A."},{"family":"Linnehan","given":"R. M."},{"family":"Tesch","given":"P. A."}],"issued":{"date-parts":[["2010",6,10]]}}}],"schema":"https://github.com/citation-style-language/schema/raw/master/csl-citation.json"} </w:instrText>
      </w:r>
      <w:r w:rsidRPr="006E5062">
        <w:fldChar w:fldCharType="separate"/>
      </w:r>
      <w:r w:rsidR="00DA7707" w:rsidRPr="00DA7707">
        <w:rPr>
          <w:vertAlign w:val="superscript"/>
        </w:rPr>
        <w:t>173</w:t>
      </w:r>
      <w:r w:rsidRPr="006E5062">
        <w:fldChar w:fldCharType="end"/>
      </w:r>
      <w:r w:rsidRPr="006E5062">
        <w:t xml:space="preserve"> are supported by increases in these genes in animal models subjected to atrophic conditions such as hind limb suspension,</w:t>
      </w:r>
      <w:r w:rsidRPr="006E5062">
        <w:fldChar w:fldCharType="begin"/>
      </w:r>
      <w:r w:rsidR="00DA7707">
        <w:instrText xml:space="preserve"> ADDIN ZOTERO_ITEM CSL_CITATION {"citationID":"lRflopZr","properties":{"formattedCitation":"\\super 174\\nosupersub{}","plainCitation":"174","noteIndex":0},"citationItems":[{"id":5,"uris":["http://zotero.org/users/6281125/items/WGL72PE8"],"uri":["http://zotero.org/users/6281125/items/WGL72PE8"],"itemData":{"id":5,"type":"article-journal","abstract":"Skeletal muscle adapts to decreases in activity and load by undergoing atrophy. To identify candidate molecular mediators of muscle atrophy, we performed transcript profiling. Although many genes were up-regulated in a single rat model of atrophy, only a small subset was universal in all atrophy models. Two of these genes encode ubiquitin ligases: Muscle RING Finger 1 (MuRF1), and a gene we designate Muscle Atrophy F-box (MAFbx), the latter being a member of the SCF family of E3 ubiquitin ligases. Overexpression of MAFbx in myotubes produced atrophy, whereas mice deficient in either MAFbx or MuRF1 were found to be resistant to atrophy. These proteins are potentail drug targets for the treatment of muscle atrophy.","container-title":"Science","DOI":"10.1126/science.1065874","ISSN":"00368075","issue":"3","note":"PMID: 11679633","page":"510-520","title":"Identification of ubiquitin ligases required for skeletal Muscle Atrophy","volume":"31","author":[{"family":"Bodine","given":"S. C."},{"family":"Latres","given":"E."},{"family":"Baumhueter","given":"S."},{"family":"Lai","given":"V. K.M."},{"family":"Nunez","given":"L."},{"family":"Clarke","given":"B. A."},{"family":"Poueymirou","given":"W. T."},{"family":"Panaro","given":"F. J."},{"literal":"Erqian Na"},{"family":"Dharmarajan","given":"K."},{"family":"Pan","given":"Z. Q."},{"family":"Valenzuela","given":"D. M."},{"family":"Dechiara","given":"T. M."},{"family":"Stitt","given":"T. N."},{"family":"Yancopoulos","given":"G. D."},{"family":"Glass","given":"D. J."}],"issued":{"date-parts":[["2001"]]}}}],"schema":"https://github.com/citation-style-language/schema/raw/master/csl-citation.json"} </w:instrText>
      </w:r>
      <w:r w:rsidRPr="006E5062">
        <w:fldChar w:fldCharType="separate"/>
      </w:r>
      <w:r w:rsidR="00DA7707" w:rsidRPr="00DA7707">
        <w:rPr>
          <w:vertAlign w:val="superscript"/>
        </w:rPr>
        <w:t>174</w:t>
      </w:r>
      <w:r w:rsidRPr="006E5062">
        <w:fldChar w:fldCharType="end"/>
      </w:r>
      <w:r w:rsidRPr="006E5062">
        <w:t xml:space="preserve"> denervation,</w:t>
      </w:r>
      <w:r w:rsidRPr="006E5062">
        <w:fldChar w:fldCharType="begin"/>
      </w:r>
      <w:r w:rsidR="00DA7707">
        <w:instrText xml:space="preserve"> ADDIN ZOTERO_ITEM CSL_CITATION {"citationID":"p0GKp93C","properties":{"formattedCitation":"\\super 174,175\\nosupersub{}","plainCitation":"174,175","noteIndex":0},"citationItems":[{"id":5,"uris":["http://zotero.org/users/6281125/items/WGL72PE8"],"uri":["http://zotero.org/users/6281125/items/WGL72PE8"],"itemData":{"id":5,"type":"article-journal","abstract":"Skeletal muscle adapts to decreases in activity and load by undergoing atrophy. To identify candidate molecular mediators of muscle atrophy, we performed transcript profiling. Although many genes were up-regulated in a single rat model of atrophy, only a small subset was universal in all atrophy models. Two of these genes encode ubiquitin ligases: Muscle RING Finger 1 (MuRF1), and a gene we designate Muscle Atrophy F-box (MAFbx), the latter being a member of the SCF family of E3 ubiquitin ligases. Overexpression of MAFbx in myotubes produced atrophy, whereas mice deficient in either MAFbx or MuRF1 were found to be resistant to atrophy. These proteins are potentail drug targets for the treatment of muscle atrophy.","container-title":"Science","DOI":"10.1126/science.1065874","ISSN":"00368075","issue":"3","note":"PMID: 11679633","page":"510-520","title":"Identification of ubiquitin ligases required for skeletal Muscle Atrophy","volume":"31","author":[{"family":"Bodine","given":"S. C."},{"family":"Latres","given":"E."},{"family":"Baumhueter","given":"S."},{"family":"Lai","given":"V. K.M."},{"family":"Nunez","given":"L."},{"family":"Clarke","given":"B. A."},{"family":"Poueymirou","given":"W. T."},{"family":"Panaro","given":"F. J."},{"literal":"Erqian Na"},{"family":"Dharmarajan","given":"K."},{"family":"Pan","given":"Z. Q."},{"family":"Valenzuela","given":"D. M."},{"family":"Dechiara","given":"T. M."},{"family":"Stitt","given":"T. N."},{"family":"Yancopoulos","given":"G. D."},{"family":"Glass","given":"D. J."}],"issued":{"date-parts":[["2001"]]}}},{"id":845,"uris":["http://zotero.org/users/6281125/items/9IFE9Q6J"],"uri":["http://zotero.org/users/6281125/items/9IFE9Q6J"],"itemData":{"id":845,"type":"article-journal","abstract":"Maintenance of skeletal muscle structure and function requires innervation by motor neurons, such that denervation causes muscle atrophy. We show that myogenin, an essential regulator of muscle development, controls neurogenic atrophy. Myogenin is upregulated in skeletal muscle following denervation and regulates expression of the E3 ubiquitin ligases MuRF1 and atrogin-1, which promote muscle proteolysis and atrophy. Deletion of myogenin from adult mice diminishes expression of MuRF1 and atrogin-1 in denervated muscle and confers resistance to atrophy. Mice lacking histone deacetylases (HDACs) 4 and 5 in skeletal muscle fail to upregulate myogenin and also preserve muscle mass following denervation. Conversely, forced expression of myogenin in skeletal muscle of HDAC mutant mice restores muscle atrophy following denervation. Thus, myogenin plays a dual role as both a regulator of muscle development and an inducer of neurogenic atrophy. These findings reveal a specific pathway for muscle wasting and potential therapeutic targets for this disorder.","container-title":"Cell","DOI":"10.1016/j.cell.2010.09.004","ISSN":"0092-8674","issue":"1","journalAbbreviation":"Cell","language":"en","page":"35-45","source":"ScienceDirect","title":"Myogenin and Class II HDACs Control Neurogenic Muscle Atrophy by Inducing E3 Ubiquitin Ligases","volume":"143","author":[{"family":"Moresi","given":"Viviana"},{"family":"Williams","given":"Andrew H."},{"family":"Meadows","given":"Eric"},{"family":"Flynn","given":"Jesse M."},{"family":"Potthoff","given":"Matthew J."},{"family":"McAnally","given":"John"},{"family":"Shelton","given":"John M."},{"family":"Backs","given":"Johannes"},{"family":"Klein","given":"William H."},{"family":"Richardson","given":"James A."},{"family":"Bassel-Duby","given":"Rhonda"},{"family":"Olson","given":"Eric N."}],"issued":{"date-parts":[["2010",10,1]]}}}],"schema":"https://github.com/citation-style-language/schema/raw/master/csl-citation.json"} </w:instrText>
      </w:r>
      <w:r w:rsidRPr="006E5062">
        <w:fldChar w:fldCharType="separate"/>
      </w:r>
      <w:r w:rsidR="00DA7707" w:rsidRPr="00DA7707">
        <w:rPr>
          <w:vertAlign w:val="superscript"/>
        </w:rPr>
        <w:t>174,175</w:t>
      </w:r>
      <w:r w:rsidRPr="006E5062">
        <w:fldChar w:fldCharType="end"/>
      </w:r>
      <w:r w:rsidRPr="006E5062">
        <w:t xml:space="preserve"> cachexia,</w:t>
      </w:r>
      <w:r w:rsidRPr="006E5062">
        <w:fldChar w:fldCharType="begin"/>
      </w:r>
      <w:r w:rsidR="00DA7707">
        <w:instrText xml:space="preserve"> ADDIN ZOTERO_ITEM CSL_CITATION {"citationID":"abiTMlag","properties":{"formattedCitation":"\\super 176\\nosupersub{}","plainCitation":"176","noteIndex":0},"citationItems":[{"id":844,"uris":["http://zotero.org/users/6281125/items/HDR7SBUP"],"uri":["http://zotero.org/users/6281125/items/HDR7SBUP"],"itemData":{"id":844,"type":"article-journal","container-title":"The FASEB Journal","DOI":"10.1096/fj.03-0610com","ISSN":"0892-6638, 1530-6860","issue":"1","journalAbbreviation":"FASEB j.","language":"en","page":"39-51","source":"DOI.org (Crossref)","title":"Multiple types of skeletal muscle atrophy involve a common program of changes in gene expression","volume":"18","author":[{"family":"Lecker","given":"Stewart H."},{"family":"Jagoe","given":"R. Thomas"},{"family":"Gilbert","given":"Alexander"},{"family":"Gomes","given":"Marcelo"},{"family":"Baracos","given":"Vickie"},{"family":"Bailey","given":"James"},{"family":"Price","given":"S. Russ"},{"family":"Mitch","given":"William E."},{"family":"Goldberg","given":"Alfred L."}],"issued":{"date-parts":[["2004",1]]}}}],"schema":"https://github.com/citation-style-language/schema/raw/master/csl-citation.json"} </w:instrText>
      </w:r>
      <w:r w:rsidRPr="006E5062">
        <w:fldChar w:fldCharType="separate"/>
      </w:r>
      <w:r w:rsidR="00DA7707" w:rsidRPr="00DA7707">
        <w:rPr>
          <w:vertAlign w:val="superscript"/>
        </w:rPr>
        <w:t>176</w:t>
      </w:r>
      <w:r w:rsidRPr="006E5062">
        <w:fldChar w:fldCharType="end"/>
      </w:r>
      <w:r w:rsidRPr="006E5062">
        <w:t xml:space="preserve"> and spinal cord transection.</w:t>
      </w:r>
      <w:r w:rsidRPr="006E5062">
        <w:fldChar w:fldCharType="begin"/>
      </w:r>
      <w:r w:rsidR="00DA7707">
        <w:instrText xml:space="preserve"> ADDIN ZOTERO_ITEM CSL_CITATION {"citationID":"Gjm2MNsi","properties":{"formattedCitation":"\\super 177\\nosupersub{}","plainCitation":"177","noteIndex":0},"citationItems":[{"id":843,"uris":["http://zotero.org/users/6281125/items/YFKIB69A"],"uri":["http://zotero.org/users/6281125/items/YFKIB69A"],"itemData":{"id":843,"type":"article-journal","container-title":"The FASEB Journal","DOI":"10.1096/fj.06-6604com","ISSN":"0892-6638, 1530-6860","issue":"1","journalAbbreviation":"The FASEB Journal","language":"en","page":"140-155","source":"DOI.org (Crossref)","title":"Rapid disuse and denervation atrophy involve transcriptional changes similar to those of muscle wasting during systemic diseases","volume":"21","author":[{"family":"Sacheck","given":"Jennifer M."},{"family":"Hyatt","given":"Jon-Philippe K."},{"family":"Raffaello","given":"Anna"},{"family":"Jagoe","given":"R. Thomas"},{"family":"Roy","given":"Roland R."},{"family":"Edgerton","given":"V. Reggie"},{"family":"Lecker","given":"Stewart H."},{"family":"Goldberg","given":"Alfred L."}],"issued":{"date-parts":[["2007",1]]}}}],"schema":"https://github.com/citation-style-language/schema/raw/master/csl-citation.json"} </w:instrText>
      </w:r>
      <w:r w:rsidRPr="006E5062">
        <w:fldChar w:fldCharType="separate"/>
      </w:r>
      <w:r w:rsidR="00DA7707" w:rsidRPr="00DA7707">
        <w:rPr>
          <w:vertAlign w:val="superscript"/>
        </w:rPr>
        <w:t>177</w:t>
      </w:r>
      <w:r w:rsidRPr="006E5062">
        <w:fldChar w:fldCharType="end"/>
      </w:r>
      <w:r w:rsidRPr="006E5062">
        <w:t xml:space="preserve"> To further support evidence of the role of these genes in muscle atrophy, mice genetically modified to lack </w:t>
      </w:r>
      <w:r w:rsidRPr="007E36F3">
        <w:t>atrogin-1 and MuRF-1</w:t>
      </w:r>
      <w:r w:rsidRPr="006E5062">
        <w:t xml:space="preserve"> were resistant to muscle atrophy after being subjected to hind leg denervation.</w:t>
      </w:r>
      <w:r w:rsidRPr="006E5062">
        <w:fldChar w:fldCharType="begin"/>
      </w:r>
      <w:r w:rsidR="00DA7707">
        <w:instrText xml:space="preserve"> ADDIN ZOTERO_ITEM CSL_CITATION {"citationID":"J6ug3bON","properties":{"formattedCitation":"\\super 174\\nosupersub{}","plainCitation":"174","noteIndex":0},"citationItems":[{"id":5,"uris":["http://zotero.org/users/6281125/items/WGL72PE8"],"uri":["http://zotero.org/users/6281125/items/WGL72PE8"],"itemData":{"id":5,"type":"article-journal","abstract":"Skeletal muscle adapts to decreases in activity and load by undergoing atrophy. To identify candidate molecular mediators of muscle atrophy, we performed transcript profiling. Although many genes were up-regulated in a single rat model of atrophy, only a small subset was universal in all atrophy models. Two of these genes encode ubiquitin ligases: Muscle RING Finger 1 (MuRF1), and a gene we designate Muscle Atrophy F-box (MAFbx), the latter being a member of the SCF family of E3 ubiquitin ligases. Overexpression of MAFbx in myotubes produced atrophy, whereas mice deficient in either MAFbx or MuRF1 were found to be resistant to atrophy. These proteins are potentail drug targets for the treatment of muscle atrophy.","container-title":"Science","DOI":"10.1126/science.1065874","ISSN":"00368075","issue":"3","note":"PMID: 11679633","page":"510-520","title":"Identification of ubiquitin ligases required for skeletal Muscle Atrophy","volume":"31","author":[{"family":"Bodine","given":"S. C."},{"family":"Latres","given":"E."},{"family":"Baumhueter","given":"S."},{"family":"Lai","given":"V. K.M."},{"family":"Nunez","given":"L."},{"family":"Clarke","given":"B. A."},{"family":"Poueymirou","given":"W. T."},{"family":"Panaro","given":"F. J."},{"literal":"Erqian Na"},{"family":"Dharmarajan","given":"K."},{"family":"Pan","given":"Z. Q."},{"family":"Valenzuela","given":"D. M."},{"family":"Dechiara","given":"T. M."},{"family":"Stitt","given":"T. N."},{"family":"Yancopoulos","given":"G. D."},{"family":"Glass","given":"D. J."}],"issued":{"date-parts":[["2001"]]}}}],"schema":"https://github.com/citation-style-language/schema/raw/master/csl-citation.json"} </w:instrText>
      </w:r>
      <w:r w:rsidRPr="006E5062">
        <w:fldChar w:fldCharType="separate"/>
      </w:r>
      <w:r w:rsidR="00DA7707" w:rsidRPr="00DA7707">
        <w:rPr>
          <w:vertAlign w:val="superscript"/>
        </w:rPr>
        <w:t>174</w:t>
      </w:r>
      <w:r w:rsidRPr="006E5062">
        <w:fldChar w:fldCharType="end"/>
      </w:r>
      <w:r w:rsidRPr="006E5062">
        <w:t xml:space="preserve"> </w:t>
      </w:r>
    </w:p>
    <w:p w14:paraId="3B3C25A9" w14:textId="4BE1DCDA" w:rsidR="00BA19D2" w:rsidRPr="006E5062" w:rsidRDefault="00BA19D2" w:rsidP="00F06CC9">
      <w:pPr>
        <w:pBdr>
          <w:top w:val="nil"/>
          <w:left w:val="nil"/>
          <w:bottom w:val="nil"/>
          <w:right w:val="nil"/>
          <w:between w:val="nil"/>
        </w:pBdr>
        <w:ind w:right="-14"/>
      </w:pPr>
      <w:r w:rsidRPr="006E5062">
        <w:t>A major protein involved in stimulating the UPS and inducing</w:t>
      </w:r>
      <w:r w:rsidRPr="00AA6DC9">
        <w:rPr>
          <w:i/>
          <w:iCs/>
        </w:rPr>
        <w:t xml:space="preserve"> </w:t>
      </w:r>
      <w:r w:rsidRPr="00AA6DC9">
        <w:t>atrogin-1</w:t>
      </w:r>
      <w:r w:rsidRPr="00AA6DC9">
        <w:rPr>
          <w:i/>
          <w:iCs/>
        </w:rPr>
        <w:t xml:space="preserve"> </w:t>
      </w:r>
      <w:r w:rsidRPr="006E5062">
        <w:t>and MuRF-1 production is myostatin.</w:t>
      </w:r>
      <w:r w:rsidRPr="006E5062">
        <w:fldChar w:fldCharType="begin"/>
      </w:r>
      <w:r w:rsidR="00DA7707">
        <w:instrText xml:space="preserve"> ADDIN ZOTERO_ITEM CSL_CITATION {"citationID":"2kmA8yJH","properties":{"formattedCitation":"\\super 178\\nosupersub{}","plainCitation":"178","noteIndex":0},"citationItems":[{"id":808,"uris":["http://zotero.org/users/6281125/items/5RBRB4WC"],"uri":["http://zotero.org/users/6281125/items/5RBRB4WC"],"itemData":{"id":808,"type":"article-journal","abstract":"Myostatin, a transforming growth factor-beta (TGF-β) super-family member, has been well characterized as a negative regulator of muscle growth and development. Myostatin has been implicated in several forms of muscle wasting including the severe cachexia observed as a result of conditions such as AIDS and liver cirrhosis. Here we show that Myostatin induces cachexia by a mechanism independent of NF-κB. Myostatin treatment resulted in a reduction in both myotube number and size in vitro, as well as a loss in body mass in vivo. Furthermore, the expression of the myogenic genes myoD and pax3 was reduced, while NF-κB (the p65 subunit) localization and expression remained unchanged. In addition, promoter analysis has confirmed Myostatin inhibition of myoD and pax3. An increase in the expression of genes involved in ubiquitin-mediated proteolysis is observed during many forms of muscle wasting. Hence we analyzed the effect of Myostatin treatment on proteolytic gene expression. The ubiquitin associated genes atrogin-1, MuRF-1, and E214k were upregulated following Myostatin treatment. We analyzed how Myostatin may be signaling to induce cachexia. Myostatin signaling reversed the IGF-1/PI3K/AKT hypertrophy pathway by inhibiting AKT phosphorylation thereby increasing the levels of active FoxO1, allowing for increased expression of atrophy-related genes. Therefore, our results suggest that Myostatin induces cachexia through an NF-κB-independent mechanism. Furthermore, increased Myostatin levels appear to antagonize hypertrophy signaling through regulation of the AKT-FoxO1 pathway. J. Cell. Physiol. 209: 501–514, 2006. © 2006 Wiley-Liss, Inc.","container-title":"Journal of Cellular Physiology","DOI":"10.1002/jcp.20757","ISSN":"1097-4652","issue":"2","language":"en","note":"_eprint: https://onlinelibrary.wiley.com/doi/pdf/10.1002/jcp.20757","page":"501-514","source":"Wiley Online Library","title":"Myostatin induces cachexia by activating the ubiquitin proteolytic system through an NF-κB-independent, FoxO1-dependent mechanism","volume":"209","author":[{"family":"McFarlane","given":"Craig"},{"family":"Plummer","given":"Erin"},{"family":"Thomas","given":"Mark"},{"family":"Hennebry","given":"Alex"},{"family":"Ashby","given":"Murray"},{"family":"Ling","given":"Nicholas"},{"family":"Smith","given":"Heather"},{"family":"Sharma","given":"Mridula"},{"family":"Kambadur","given":"Ravi"}],"issued":{"date-parts":[["2006"]]}}}],"schema":"https://github.com/citation-style-language/schema/raw/master/csl-citation.json"} </w:instrText>
      </w:r>
      <w:r w:rsidRPr="006E5062">
        <w:fldChar w:fldCharType="separate"/>
      </w:r>
      <w:r w:rsidR="00DA7707" w:rsidRPr="00DA7707">
        <w:rPr>
          <w:vertAlign w:val="superscript"/>
        </w:rPr>
        <w:t>178</w:t>
      </w:r>
      <w:r w:rsidRPr="006E5062">
        <w:fldChar w:fldCharType="end"/>
      </w:r>
      <w:r w:rsidRPr="006E5062">
        <w:t xml:space="preserve"> </w:t>
      </w:r>
      <w:bookmarkStart w:id="48" w:name="_Hlk34996689"/>
      <w:r w:rsidRPr="006E5062">
        <w:t xml:space="preserve">Myostatin is a protein that is prevalent in the muscle </w:t>
      </w:r>
      <w:r w:rsidR="00F03569">
        <w:t>ECM,</w:t>
      </w:r>
      <w:r w:rsidRPr="006E5062">
        <w:t xml:space="preserve"> but typically remains inactive in healthy tissue.</w:t>
      </w:r>
      <w:r w:rsidRPr="006E5062">
        <w:fldChar w:fldCharType="begin"/>
      </w:r>
      <w:r w:rsidR="00DA7707">
        <w:instrText xml:space="preserve"> ADDIN ZOTERO_ITEM CSL_CITATION {"citationID":"NZSn4BZl","properties":{"formattedCitation":"\\super 164\\nosupersub{}","plainCitation":"164","noteIndex":0},"citationItems":[{"id":795,"uris":["http://zotero.org/users/6281125/items/YWSCIN25"],"uri":["http://zotero.org/users/6281125/items/YWSCIN25"],"itemData":{"id":795,"type":"article-journal","abstract":"Sarcopenia is one of the leading causes of disability in the elderly. Despite the growing prevalence of sarcopenia, the molecular mechanisms that control agingrelated changes in muscle mass are not fully understood. The ubiquitin proteasome system is one of the major pathways that regulate muscle protein degradation, and this system plays a central role in controlling muscle size. Atrogin-1 and MuRF-1 are two E3 ubiquitin ligases that are important regulators of ubiquitin-mediated protein degradation in skeletal muscle. In this review, we will discuss: (i) aging-related changes to skeletal muscle structure and function; (ii) the regulation of protein synthesis and protein degradation by IGF-1, TGF-b, and myostatin, with emphasis on the control of atrogin-1 and MuRF-1 expression; and (iii) the potential for modulating atrogin-1 and MuRF-1 expression to treat or prevent sarcopenia.","container-title":"Endocrine","DOI":"10.1007/s12020-012-9751-7","ISSN":"1355-008X, 1559-0100","issue":"1","journalAbbreviation":"Endocrine","language":"en","page":"12-21","source":"DOI.org (Crossref)","title":"Atrogin-1, MuRF-1, and sarcopenia","volume":"43","author":[{"family":"Gumucio","given":"Jonathan P."},{"family":"Mendias","given":"Christopher L."}],"issued":{"date-parts":[["2013",2]]}}}],"schema":"https://github.com/citation-style-language/schema/raw/master/csl-citation.json"} </w:instrText>
      </w:r>
      <w:r w:rsidRPr="006E5062">
        <w:fldChar w:fldCharType="separate"/>
      </w:r>
      <w:r w:rsidR="00DA7707" w:rsidRPr="00DA7707">
        <w:rPr>
          <w:vertAlign w:val="superscript"/>
        </w:rPr>
        <w:t>164</w:t>
      </w:r>
      <w:r w:rsidRPr="006E5062">
        <w:fldChar w:fldCharType="end"/>
      </w:r>
      <w:r w:rsidRPr="006E5062">
        <w:t xml:space="preserve"> When activated in atrophic conditions, myostatin binds to its receptor and directly stimulates Smad3</w:t>
      </w:r>
      <w:r w:rsidRPr="006E5062">
        <w:fldChar w:fldCharType="begin"/>
      </w:r>
      <w:r w:rsidR="00DA7707">
        <w:instrText xml:space="preserve"> ADDIN ZOTERO_ITEM CSL_CITATION {"citationID":"TroBsCjd","properties":{"formattedCitation":"\\super 179\\nosupersub{}","plainCitation":"179","noteIndex":0},"citationItems":[{"id":841,"uris":["http://zotero.org/users/6281125/items/L5ZBRY97"],"uri":["http://zotero.org/users/6281125/items/L5ZBRY97"],"itemData":{"id":841,"type":"article-journal","abstract":"Genetic deletion of Myostatin, a member of the Transforming Growth Factor-beta family of signalling molecules, resulted in excessive growth of skeletal muscle. It demonstrated the remarkable intrinsic growth potential of skeletal muscle and led to the proposal that growth stimulation could amend diseased muscle without having to correct the primary cause of the disease. Furthermore, the presence of Myostatin in skeletal muscle in a number of muscle diseases and disease models suggested that it aggravated the primary pathology. Inhibition of Myostatin activity in mdx mouse, the animal model for Duchenne muscular dystrophy, resulted in increased force production and better tissue architecture which implicated Myostatin as a target for new therapeutic strategies. In this review we will discuss the phenotypes of animal models in which Myostatin function is altered. We will highlight the particularities of the Myostatin signalling pathway and describe molecular strategies that have been developed to inhibit the function of Myostatin on muscle. Finally, we will summarise the role of Myostatin in diseased muscle and discuss blockade of Myostatin as a potential therapy for muscular dystrophies.","container-title":"Neuromuscular Disorders","DOI":"10.1016/j.nmd.2004.10.018","ISSN":"0960-8966","issue":"2","journalAbbreviation":"Neuromuscular Disorders","language":"en","page":"117-126","source":"ScienceDirect","title":"The function of Myostatin and strategies of Myostatin blockade—new hope for therapies aimed at promoting growth of skeletal muscle","volume":"15","author":[{"family":"Patel","given":"Ketan"},{"family":"Amthor","given":"Helge"}],"issued":{"date-parts":[["2005",2,1]]}}}],"schema":"https://github.com/citation-style-language/schema/raw/master/csl-citation.json"} </w:instrText>
      </w:r>
      <w:r w:rsidRPr="006E5062">
        <w:fldChar w:fldCharType="separate"/>
      </w:r>
      <w:r w:rsidR="00DA7707" w:rsidRPr="00DA7707">
        <w:rPr>
          <w:vertAlign w:val="superscript"/>
        </w:rPr>
        <w:t>179</w:t>
      </w:r>
      <w:r w:rsidRPr="006E5062">
        <w:fldChar w:fldCharType="end"/>
      </w:r>
      <w:r w:rsidRPr="006E5062">
        <w:t xml:space="preserve"> and indirectly stimulates FoxO through Akt suppression.</w:t>
      </w:r>
      <w:r w:rsidRPr="006E5062">
        <w:fldChar w:fldCharType="begin"/>
      </w:r>
      <w:r w:rsidR="00DA7707">
        <w:instrText xml:space="preserve"> ADDIN ZOTERO_ITEM CSL_CITATION {"citationID":"9Jo5jxP1","properties":{"formattedCitation":"\\super 178\\nosupersub{}","plainCitation":"178","noteIndex":0},"citationItems":[{"id":808,"uris":["http://zotero.org/users/6281125/items/5RBRB4WC"],"uri":["http://zotero.org/users/6281125/items/5RBRB4WC"],"itemData":{"id":808,"type":"article-journal","abstract":"Myostatin, a transforming growth factor-beta (TGF-β) super-family member, has been well characterized as a negative regulator of muscle growth and development. Myostatin has been implicated in several forms of muscle wasting including the severe cachexia observed as a result of conditions such as AIDS and liver cirrhosis. Here we show that Myostatin induces cachexia by a mechanism independent of NF-κB. Myostatin treatment resulted in a reduction in both myotube number and size in vitro, as well as a loss in body mass in vivo. Furthermore, the expression of the myogenic genes myoD and pax3 was reduced, while NF-κB (the p65 subunit) localization and expression remained unchanged. In addition, promoter analysis has confirmed Myostatin inhibition of myoD and pax3. An increase in the expression of genes involved in ubiquitin-mediated proteolysis is observed during many forms of muscle wasting. Hence we analyzed the effect of Myostatin treatment on proteolytic gene expression. The ubiquitin associated genes atrogin-1, MuRF-1, and E214k were upregulated following Myostatin treatment. We analyzed how Myostatin may be signaling to induce cachexia. Myostatin signaling reversed the IGF-1/PI3K/AKT hypertrophy pathway by inhibiting AKT phosphorylation thereby increasing the levels of active FoxO1, allowing for increased expression of atrophy-related genes. Therefore, our results suggest that Myostatin induces cachexia through an NF-κB-independent mechanism. Furthermore, increased Myostatin levels appear to antagonize hypertrophy signaling through regulation of the AKT-FoxO1 pathway. J. Cell. Physiol. 209: 501–514, 2006. © 2006 Wiley-Liss, Inc.","container-title":"Journal of Cellular Physiology","DOI":"10.1002/jcp.20757","ISSN":"1097-4652","issue":"2","language":"en","note":"_eprint: https://onlinelibrary.wiley.com/doi/pdf/10.1002/jcp.20757","page":"501-514","source":"Wiley Online Library","title":"Myostatin induces cachexia by activating the ubiquitin proteolytic system through an NF-κB-independent, FoxO1-dependent mechanism","volume":"209","author":[{"family":"McFarlane","given":"Craig"},{"family":"Plummer","given":"Erin"},{"family":"Thomas","given":"Mark"},{"family":"Hennebry","given":"Alex"},{"family":"Ashby","given":"Murray"},{"family":"Ling","given":"Nicholas"},{"family":"Smith","given":"Heather"},{"family":"Sharma","given":"Mridula"},{"family":"Kambadur","given":"Ravi"}],"issued":{"date-parts":[["2006"]]}}}],"schema":"https://github.com/citation-style-language/schema/raw/master/csl-citation.json"} </w:instrText>
      </w:r>
      <w:r w:rsidRPr="006E5062">
        <w:fldChar w:fldCharType="separate"/>
      </w:r>
      <w:r w:rsidR="00DA7707" w:rsidRPr="00DA7707">
        <w:rPr>
          <w:vertAlign w:val="superscript"/>
        </w:rPr>
        <w:t>178</w:t>
      </w:r>
      <w:r w:rsidRPr="006E5062">
        <w:fldChar w:fldCharType="end"/>
      </w:r>
      <w:r w:rsidRPr="006E5062">
        <w:t xml:space="preserve"> These transcription factors then translocate to the nucleus to induce the expression of atrogin-1</w:t>
      </w:r>
      <w:r w:rsidRPr="006E5062">
        <w:fldChar w:fldCharType="begin"/>
      </w:r>
      <w:r w:rsidR="00DA7707">
        <w:instrText xml:space="preserve"> ADDIN ZOTERO_ITEM CSL_CITATION {"citationID":"oKTKM5Tx","properties":{"formattedCitation":"\\super 180,181\\nosupersub{}","plainCitation":"180,181","noteIndex":0},"citationItems":[{"id":801,"uris":["http://zotero.org/users/6281125/items/JNK8QP64"],"uri":["http://zotero.org/users/6281125/items/JNK8QP64"],"itemData":{"id":801,"type":"article-journal","abstract":"Myostatin, a member of the TGF superfamily, is sufficient to induce skeletal muscle atrophy. Myostatin-induced atrophy is associated with increases in E3-ligase atrogin-1 expression and protein degradation and decreases in Akt/mechanistic target of rapamycin (mTOR) signaling and protein synthesis. Myostatin signaling activates the transcription factor Smad3 (Small Mothers Against Decapentaplegic), which has been shown to be necessary for myostatin-induced atrogin-1 expression and atrophy; however, it is not known whether Smad3 is sufficient to induce these events or whether Smad3 simply plays a permissive role. Thus, the aim of this study was to address these questions with an in vivo model. To accomplish this goal, in vivo transfection of plasmid DNA was used to create transient transgenic mouse skeletal muscles, and our results show for the first time that Smad3 expression is sufficient to stimulate atrogin-1 promoter activity, inhibit Akt/mTOR signaling and protein synthesis, and induce muscle fiber atrophy. Moreover, we propose that Akt/mTOR signaling is inhibited by a Smad3-induced decrease in microRNA-29 (miR-29) expression and a subsequent increase in the translation of phosphatase and tensin homolog (PTEN) mRNA. Smad3 is also sufficient to inhibit peroxisome proliferator-activated receptor-γ coactivator-1α (PGC1α) promoter activity and to increase FoxO (Forkhead Box Protein, Subclass O)-mediated signaling and the promoter activity of plasminogen activator inhibitor 1 (PAI-1). Combined, this study provides the first evidence that Smad3 is sufficient to regulate many of the events associated with myostatin-induced atrophy and therefore suggests that Smad3 signaling may be a viable target for therapies aimed at preventing myostatin-induced muscle atrophy.","container-title":"Molecular Endocrinology","DOI":"10.1210/me.2013-1194","ISSN":"0888-8809","issue":"11","journalAbbreviation":"Mol Endocrinol","note":"PMID: 24002653\nPMCID: PMC3805852","page":"1946-1957","source":"PubMed Central","title":"Smad3 Induces Atrogin-1, Inhibits mTOR and Protein Synthesis, and Promotes Muscle Atrophy In Vivo","volume":"27","author":[{"family":"Goodman","given":"Craig A."},{"family":"McNally","given":"Rachel M."},{"family":"Hoffmann","given":"F. Michael"},{"family":"Hornberger","given":"Troy A."}],"issued":{"date-parts":[["2013",11]]}}},{"id":798,"uris":["http://zotero.org/users/6281125/items/M8FH2K9S"],"uri":["http://zotero.org/users/6281125/items/M8FH2K9S"],"itemData":{"id":798,"type":"article-journal","abstract":"Muscle atrophy occurs in many pathological states and results primarily from accelerated protein degradation and activation of the ubiquitin-proteasome pathway. However, the importance of lysosomes in muscle atrophy has received little attention. Activation of FoxO transcription factors is essential for the atrophy induced by denervation or fasting, and activated FoxO3 by itself causes marked atrophy of muscles and myotubes. Here, we report that FoxO3 does so by stimulating overall protein degradation and coordinately activating both lysosomal and proteasomal pathways. Surprisingly, in C2C12 myotubes, most of this increased proteolysis is mediated by lysosomes. Activated FoxO3 stimulates lysosomal proteolysis in muscle (and other cell types) by activating autophagy. FoxO3 also induces the expression of many autophagy-related genes, which are induced similarly in mouse muscles atrophying due to denervation or fasting. These studies indicate that decreased IGF-1-PI3K-Akt signaling activates autophagy not only through mTOR but also more slowly by a transcription-dependent mechanism involving FoxO3.","container-title":"Cell Metabolism","DOI":"10.1016/j.cmet.2007.11.004","ISSN":"1550-4131","issue":"6","journalAbbreviation":"Cell Metab.","language":"eng","note":"PMID: 18054316","page":"472-483","source":"PubMed","title":"FoxO3 coordinately activates protein degradation by the autophagic/lysosomal and proteasomal pathways in atrophying muscle cells","volume":"6","author":[{"family":"Zhao","given":"Jinghui"},{"family":"Brault","given":"Jeffrey J."},{"family":"Schild","given":"Andreas"},{"family":"Cao","given":"Peirang"},{"family":"Sandri","given":"Marco"},{"family":"Schiaffino","given":"Stefano"},{"family":"Lecker","given":"Stewart H."},{"family":"Goldberg","given":"Alfred L."}],"issued":{"date-parts":[["2007",12]]}}}],"schema":"https://github.com/citation-style-language/schema/raw/master/csl-citation.json"} </w:instrText>
      </w:r>
      <w:r w:rsidRPr="006E5062">
        <w:fldChar w:fldCharType="separate"/>
      </w:r>
      <w:r w:rsidR="00DA7707" w:rsidRPr="00DA7707">
        <w:rPr>
          <w:vertAlign w:val="superscript"/>
        </w:rPr>
        <w:t>180,181</w:t>
      </w:r>
      <w:r w:rsidRPr="006E5062">
        <w:fldChar w:fldCharType="end"/>
      </w:r>
      <w:r w:rsidRPr="006E5062">
        <w:t xml:space="preserve"> and MuRF-1,</w:t>
      </w:r>
      <w:r w:rsidRPr="006E5062">
        <w:fldChar w:fldCharType="begin"/>
      </w:r>
      <w:r w:rsidR="00DA7707">
        <w:instrText xml:space="preserve"> ADDIN ZOTERO_ITEM CSL_CITATION {"citationID":"2U04w0jL","properties":{"formattedCitation":"\\super 181,182\\nosupersub{}","plainCitation":"181,182","noteIndex":0},"citationItems":[{"id":798,"uris":["http://zotero.org/users/6281125/items/M8FH2K9S"],"uri":["http://zotero.org/users/6281125/items/M8FH2K9S"],"itemData":{"id":798,"type":"article-journal","abstract":"Muscle atrophy occurs in many pathological states and results primarily from accelerated protein degradation and activation of the ubiquitin-proteasome pathway. However, the importance of lysosomes in muscle atrophy has received little attention. Activation of FoxO transcription factors is essential for the atrophy induced by denervation or fasting, and activated FoxO3 by itself causes marked atrophy of muscles and myotubes. Here, we report that FoxO3 does so by stimulating overall protein degradation and coordinately activating both lysosomal and proteasomal pathways. Surprisingly, in C2C12 myotubes, most of this increased proteolysis is mediated by lysosomes. Activated FoxO3 stimulates lysosomal proteolysis in muscle (and other cell types) by activating autophagy. FoxO3 also induces the expression of many autophagy-related genes, which are induced similarly in mouse muscles atrophying due to denervation or fasting. These studies indicate that decreased IGF-1-PI3K-Akt signaling activates autophagy not only through mTOR but also more slowly by a transcription-dependent mechanism involving FoxO3.","container-title":"Cell Metabolism","DOI":"10.1016/j.cmet.2007.11.004","ISSN":"1550-4131","issue":"6","journalAbbreviation":"Cell Metab.","language":"eng","note":"PMID: 18054316","page":"472-483","source":"PubMed","title":"FoxO3 coordinately activates protein degradation by the autophagic/lysosomal and proteasomal pathways in atrophying muscle cells","volume":"6","author":[{"family":"Zhao","given":"Jinghui"},{"family":"Brault","given":"Jeffrey J."},{"family":"Schild","given":"Andreas"},{"family":"Cao","given":"Peirang"},{"family":"Sandri","given":"Marco"},{"family":"Schiaffino","given":"Stefano"},{"family":"Lecker","given":"Stewart H."},{"family":"Goldberg","given":"Alfred L."}],"issued":{"date-parts":[["2007",12]]}}},{"id":800,"uris":["http://zotero.org/users/6281125/items/KNHVCQWM"],"uri":["http://zotero.org/users/6281125/items/KNHVCQWM"],"itemData":{"id":800,"type":"article-journal","abstract":"Muscle-specific RING finger-1 (MuRF-1), a ubiquitin ligase and key regulator of proteasome-dependent protein degradation, is highly expressed during skeletal muscle atrophy. The transcription factor forkhead box O3 (FoxO3) induces MuRF-1 expression, but the direct role of other major atrophy-related transcription factors, such as SMAD3, is largely unknown. The goal of this study was to determine whether SMAD3 individually regulates, or with FoxO3 coordinately regulates, MuRF-1 expression. In cultured myotubes or human embryonic kidney cells, MuRF-1 mRNA content and promoter activity were increased by FoxO3 but not by SMAD3 overexpression. However, FoxO3 and SMAD3 coexpression synergistically increased MuRF-1 mRNA and promoter activity. Mutation of the SMAD-binding element (SBE) in the proximal MuRF-1 promoter or overexpression of a SMAD3 DNA-binding mutant attenuated FoxO3-dependent MuRF-1 promoter activation, showing that SMAD binding to DNA is required for optimal activation of FoxO3-induced transcription of MuRF-1. Using chromatin immunoprecipitation, SMAD3 DNA binding increased FoxO3 abundance and SBE mutation reduced FoxO3 abundance on the MuRF-1 promoter. Furthermore, SMAD3 overexpression dose-dependently increased FoxO3 protein content, and coexpression of FoxO3 and SMAD3 synergistically increased FoxO-dependent gene transcription [assessed with a FoxO response element (FRE)-driven reporter]. Collectively, these results show that SMAD3 regulates transcription of MuRF-1 by increasing FoxO3 binding at a conserved FRE-SBE motif within the proximal promoter region, and by increasing FoxO3 protein content and transcriptional activity. These data are the first to indicate that two major transcription factors regulating protein degradation, FoxO3 and SMAD3, converge to coordinately and directly regulate transcription of MuRF-1.","container-title":"American Journal of Physiology-Cell Physiology","DOI":"10.1152/ajpcell.00391.2013","ISSN":"0363-6143","issue":"3","journalAbbreviation":"American Journal of Physiology-Cell Physiology","note":"publisher: American Physiological Society","page":"C278-C287","source":"journals.physiology.org (Atypon)","title":"SMAD3 augments FoxO3-induced MuRF-1 promoter activity in a DNA-binding-dependent manner","volume":"307","author":[{"family":"Bollinger","given":"Lance M."},{"family":"Witczak","given":"Carol A."},{"family":"Houmard","given":"Joseph A."},{"family":"Brault","given":"Jeffrey J."}],"issued":{"date-parts":[["2014",6,11]]}}}],"schema":"https://github.com/citation-style-language/schema/raw/master/csl-citation.json"} </w:instrText>
      </w:r>
      <w:r w:rsidRPr="006E5062">
        <w:fldChar w:fldCharType="separate"/>
      </w:r>
      <w:r w:rsidR="00DA7707" w:rsidRPr="00DA7707">
        <w:rPr>
          <w:vertAlign w:val="superscript"/>
        </w:rPr>
        <w:t>181,182</w:t>
      </w:r>
      <w:r w:rsidRPr="006E5062">
        <w:fldChar w:fldCharType="end"/>
      </w:r>
      <w:r w:rsidRPr="006E5062">
        <w:t xml:space="preserve"> increasing proteolysis of myofibrillar proteins resulting </w:t>
      </w:r>
      <w:r w:rsidR="00F03569">
        <w:t xml:space="preserve">in </w:t>
      </w:r>
      <w:r w:rsidRPr="006E5062">
        <w:t>muscle degradation and atrophy.</w:t>
      </w:r>
      <w:r w:rsidRPr="006E5062">
        <w:fldChar w:fldCharType="begin"/>
      </w:r>
      <w:r w:rsidR="00DA7707">
        <w:instrText xml:space="preserve"> ADDIN ZOTERO_ITEM CSL_CITATION {"citationID":"omViyYal","properties":{"formattedCitation":"\\super 183\\nosupersub{}","plainCitation":"183","noteIndex":0},"citationItems":[{"id":849,"uris":["http://zotero.org/users/6281125/items/UZEZR4WX"],"uri":["http://zotero.org/users/6281125/items/UZEZR4WX"],"itemData":{"id":849,"type":"article-journal","abstract":"Skeletal muscle atrophy is a debilitating response to fasting, disuse, cancer, and other systemic diseases. In atrophying muscles, the ubiquitin ligase, atrogin-1 (MAFbx), is dramatically induced, and this response is necessary for rapid atrophy. Here, we show that in cultured myotubes undergoing atrophy, the activity of the PI3K/AKT pathway decreases, leading to activation of Foxo transcription factors and atrogin-1 induction. IGF-1 treatment or AKT overexpression inhibits Foxo and atrogin-1 expression. Moreover, constitutively active Foxo3 acts on the atrogin-1 promoter to cause atrogin-1 transcription and dramatic atrophy of myotubes and muscle fibers. When Foxo activation is blocked by a dominant-negative construct in myotubes or by RNAi in mouse muscles in vivo, atrogin-1 induction during starvation and atrophy of myotubes induced by glucocorticoids are prevented. Thus, forkhead factor(s) play a critical role in the development of muscle atrophy, and inhibition of Foxo factors is an attractive approach to combat muscle wasting.","container-title":"Cell","DOI":"10.1016/S0092-8674(04)00400-3","ISSN":"0092-8674","issue":"3","journalAbbreviation":"Cell","language":"en","page":"399-412","source":"ScienceDirect","title":"Foxo Transcription Factors Induce the Atrophy-Related Ubiquitin Ligase Atrogin-1 and Cause Skeletal Muscle Atrophy","volume":"117","author":[{"family":"Sandri","given":"Marco"},{"family":"Sandri","given":"Claudia"},{"family":"Gilbert","given":"Alex"},{"family":"Skurk","given":"Carsten"},{"family":"Calabria","given":"Elisa"},{"family":"Picard","given":"Anne"},{"family":"Walsh","given":"Kenneth"},{"family":"Schiaffino","given":"Stefano"},{"family":"Lecker","given":"Stewart H"},{"family":"Goldberg","given":"Alfred L"}],"issued":{"date-parts":[["2004",4,30]]}}}],"schema":"https://github.com/citation-style-language/schema/raw/master/csl-citation.json"} </w:instrText>
      </w:r>
      <w:r w:rsidRPr="006E5062">
        <w:fldChar w:fldCharType="separate"/>
      </w:r>
      <w:r w:rsidR="00DA7707" w:rsidRPr="00DA7707">
        <w:rPr>
          <w:vertAlign w:val="superscript"/>
        </w:rPr>
        <w:t>183</w:t>
      </w:r>
      <w:r w:rsidRPr="006E5062">
        <w:fldChar w:fldCharType="end"/>
      </w:r>
      <w:bookmarkEnd w:id="48"/>
      <w:r w:rsidRPr="006E5062">
        <w:t xml:space="preserve"> Myostatin has been observed to be increased in conditions of atrophy. For example, patients receiving anterior cruciate ligament reconstruction had increased levels of circulating myostatin in their blood up to two weeks after surgery compared to presurgical measures.</w:t>
      </w:r>
      <w:r w:rsidRPr="006E5062">
        <w:fldChar w:fldCharType="begin"/>
      </w:r>
      <w:r w:rsidR="00DA7707">
        <w:instrText xml:space="preserve"> ADDIN ZOTERO_ITEM CSL_CITATION {"citationID":"PRHsNqRp","properties":{"formattedCitation":"\\super 184\\nosupersub{}","plainCitation":"184","noteIndex":0},"citationItems":[{"id":695,"uris":["http://zotero.org/users/6281125/items/ZYG4WBKP"],"uri":["http://zotero.org/users/6281125/items/ZYG4WBKP"],"itemData":{"id":695,"type":"article-journal","abstract":"Background:After anterior cruciate ligament (ACL) reconstruction, there is significant atrophy of the quadriceps muscles that can limit full recovery and place athletes at risk for recurrent injuries with return to play. The cause of this muscle atrophy is not fully understood.Hypothesis:Circulating levels of proatrophy, proinflammatory, and cartilage turnover cytokines and biomarkers would increase after ACL reconstruction.Study Design:Descriptive laboratory study.Methods:Patients (N = 18; mean age, 28 ± 2.4 years) underwent surgical reconstruction of the ACL after a noncontact athletic injury. Circulating levels of biomarkers were measured along with Short Form?12, International Knee Documentation Committee, and objective knee strength measures preoperatively and at 6 postoperative visits. Differences were tested using repeated-measures 1-way analysis of variance.Results:Myostatin, TGF-?, and C-reactive protein levels were significantly increased in the early postoperative period and returned to baseline. Cartilage oligomeric matrix protein levels decreased immediately after surgery and then returned to baseline. CCL2, CCL3, CCL4, CCL5, EGF, FGF-2, IGF-1, IL-10, IL-1α, IL-1?, IL-1ra, IL-6, myoglobin, and TNF-α were not different over the course of the study.Conclusion:An increase in potent atrophy-inducing cytokines and corresponding changes in knee strength and functional scores were observed after ACL reconstruction.Clinical Relevance:Although further studies are necessary, the therapeutic inhibition of myostatin may help prevent the muscle atrophy that occurs after ACL reconstruction and provide an accelerated return of patients to sport.","container-title":"The American Journal of Sports Medicine","DOI":"10.1177/0363546513490651","ISSN":"0363-5465","issue":"8","journalAbbreviation":"Am J Sports Med","page":"1819-1826","source":"SAGE Journals","title":"Changes in Circulating Biomarkers of Muscle Atrophy, Inflammation, and Cartilage Turnover in Patients Undergoing Anterior Cruciate Ligament Reconstruction and Rehabilitation","volume":"41","author":[{"family":"Mendias","given":"Christopher L."},{"family":"Lynch","given":"Evan B."},{"family":"Davis","given":"Max E."},{"family":"Sibilsky Enselman","given":"Elizabeth R."},{"family":"Harning","given":"Julie A."},{"family":"DeWolf","given":"Paul D."},{"family":"Makki","given":"Tarek A."},{"family":"Bedi","given":"Asheesh"}],"issued":{"date-parts":[["2013",8,1]]}}}],"schema":"https://github.com/citation-style-language/schema/raw/master/csl-citation.json"} </w:instrText>
      </w:r>
      <w:r w:rsidRPr="006E5062">
        <w:fldChar w:fldCharType="separate"/>
      </w:r>
      <w:r w:rsidR="00DA7707" w:rsidRPr="00DA7707">
        <w:rPr>
          <w:vertAlign w:val="superscript"/>
        </w:rPr>
        <w:t>184</w:t>
      </w:r>
      <w:r w:rsidRPr="006E5062">
        <w:fldChar w:fldCharType="end"/>
      </w:r>
      <w:r w:rsidRPr="006E5062">
        <w:t xml:space="preserve"> In more controlled experiments using animal models, rats subjected to 17</w:t>
      </w:r>
      <w:r w:rsidR="00A80D20">
        <w:t>-</w:t>
      </w:r>
      <w:r w:rsidRPr="006E5062">
        <w:t xml:space="preserve">days of zero gravity space flight displayed a 24% decrease in skeletal muscle mass associated with up to 5-fold increases in </w:t>
      </w:r>
      <w:r w:rsidRPr="005A41A7">
        <w:t>myostatin</w:t>
      </w:r>
      <w:r w:rsidRPr="006E5062">
        <w:t xml:space="preserve"> mRNA and protein,</w:t>
      </w:r>
      <w:r w:rsidRPr="006E5062">
        <w:fldChar w:fldCharType="begin"/>
      </w:r>
      <w:r w:rsidR="00DA7707">
        <w:instrText xml:space="preserve"> ADDIN ZOTERO_ITEM CSL_CITATION {"citationID":"LcAEU47H","properties":{"formattedCitation":"\\super 185\\nosupersub{}","plainCitation":"185","noteIndex":0},"citationItems":[{"id":840,"uris":["http://zotero.org/users/6281125/items/RF3DE4RB"],"uri":["http://zotero.org/users/6281125/items/RF3DE4RB"],"itemData":{"id":840,"type":"article-journal","abstract":"The mechanism of the loss of skeletal muscle mass that occurs during spaceflight is not well understood. Myostatin has been proposed as a negative modulator of muscle mass, and IGF-I and IGF-II are known positive regulators of muscle differentiation and growth. We investigated whether muscle loss associated with spaceflight is accompanied by increased levels of myostatin and a reduction in IGF-I and -II levels in the muscle, and whether these changes correlate with an increase in muscle proteolysis and apoptosis. Twelve male adult rats sent on the 17-day NASA STS-90 NeuroLab space flight were divided upon return to earth into two groups, and killed either 1 day later (R1) or after 13 days of acclimatization (R13). Ground-based control rats were maintained for the same periods in either vivarium (R3 and R15, respectively), or flight-simulated cages (R5 and R17, respectively). RNA and protein were isolated from the tibialis anterior, biceps femoris, quadriceps, and gastrocnemius muscles. Myostatin, IGF-I, IGF-II and proteasome 2c mRNA concentrations were determined by reverse transcription/PCR; myostatin and ubiquitin mRNA were also measured by Northern blot analysis; myostatin protein was estimated by immunohistochemistry; the apoptotic index and the release of 3-methylhistidine were determined respectively by the TUNEL assay and by HPLC. Muscle weights were 19-24% lower in the R1 rats compared with the control R3 and R5 rats, but were not significantly different after the recovery period. The myostatin/beta-actin mRNA ratios (means+/-s.e.m. ) were higher in the muscles of the R1 rats compared with the control R5 rats: 5.0-fold in tibialis (5.35 +/- 1.85 vs 1.07 +/- 0.26), 3.0-fold in biceps (2.46+/-0.70 vs 0.81 +/- 0.04), 1.9-fold in quadriceps (7.84 +/- 1.73 vs 4.08 +/- 0.52), and 2.2-fold in gastrocnemius (0.99 +/- 0.35 vs 0.44 +/- 0.17). These values also normalized upon acclimatization. Our antibody against a myostatin peptide was validated by detection of the recombinant human myostatin protein on Western blots, which also showed that myostatin immunostaining was increased in muscle sections from R1 rats, compared with control R3 rats, and normalized upon acclimatization. In contrast, IGF-II mRNA concentrations in the muscles from R1 rats were 64-89% lower than those in R3 animals. With the exception of the gastrocnemius, IGF-II was also decreased in R5 animals maintained in flight-simulated cages, and normalized upon acclimatization. The intramuscular IGF-I mRNA levels were not significantly different between the spaceflight rats and the controls. No increase was found in the proteolysis markers 3-methyl histidine, ubiquitin mRNA, and proteasome 2C mRNA. In conclusion, the loss of skeletal muscle mass that occurs during spaceflight is associated with increased myostatin mRNA and protein levels in the skeletal muscle, and a decrease in IGF-II mRNA levels. These alterations are normalized upon restoration of normal gravity and caging conditions. These data suggest that reciprocal changes in the expression of myostatin and IGF-II may contribute to the multifactorial pathophysiology of muscle atrophy that occurs during spaceflight.","container-title":"Journal of Endocrinology","DOI":"10.1677/joe.0.1670417","ISSN":"0022-0795, 1479-6805","issue":"3","language":"en","page":"417-428","source":"DOI.org (Crossref)","title":"Myostatin and insulin-like growth factor-I and -II expression in the muscle of rats exposed to the microgravity environment of the NeuroLab space shuttle flight","volume":"167","author":[{"family":"Lalani","given":"R"},{"family":"Bhasin","given":"S"},{"family":"Byhower","given":"F"},{"family":"Tarnuzzer","given":"R"},{"family":"Grant","given":"M"},{"family":"Shen","given":"R"},{"family":"Asa","given":"S"},{"family":"Ezzat","given":"S"},{"family":"Gonzalez-Cadavid","given":"Nf"}],"issued":{"date-parts":[["2000",12,1]]}}}],"schema":"https://github.com/citation-style-language/schema/raw/master/csl-citation.json"} </w:instrText>
      </w:r>
      <w:r w:rsidRPr="006E5062">
        <w:fldChar w:fldCharType="separate"/>
      </w:r>
      <w:r w:rsidR="00DA7707" w:rsidRPr="00DA7707">
        <w:rPr>
          <w:vertAlign w:val="superscript"/>
        </w:rPr>
        <w:t>185</w:t>
      </w:r>
      <w:r w:rsidRPr="006E5062">
        <w:fldChar w:fldCharType="end"/>
      </w:r>
      <w:r w:rsidRPr="006E5062">
        <w:t xml:space="preserve"> with similar findings observed in a separate study subjecting rats to 10</w:t>
      </w:r>
      <w:r w:rsidR="00B24793">
        <w:t>-</w:t>
      </w:r>
      <w:r w:rsidRPr="006E5062">
        <w:t>days of hind leg unloading.</w:t>
      </w:r>
      <w:r w:rsidRPr="006E5062">
        <w:fldChar w:fldCharType="begin"/>
      </w:r>
      <w:r w:rsidR="00DA7707">
        <w:instrText xml:space="preserve"> ADDIN ZOTERO_ITEM CSL_CITATION {"citationID":"WXrBLNUE","properties":{"formattedCitation":"\\super 186\\nosupersub{}","plainCitation":"186","noteIndex":0},"citationItems":[{"id":723,"uris":["http://zotero.org/users/6281125/items/75KFGXWH"],"uri":["http://zotero.org/users/6281125/items/75KFGXWH"],"itemData":{"id":723,"type":"article-journal","abstract":"ABSTRACT Previous findings have provided strong evidence that myostatin functions as a negative regulator of muscle mass during development and growth. In the present study, we test the hypothesis that myostatin may serve a similar function in fully differentiated muscle experiencing modified loading. Our findings show that myostatin expression can be modulated in fully differentiated, nonpathological skeletal muscle in a manner that is inversely related to changes in muscle mass. Atrophy of rat hind limb muscles induced by 10 days of unloading resulted in a 16 % decrease in plantaris mass, a 110 % increase in myostatin mRNA, and a 37 % increase in myostatin protein. Immunohistochemical observations showed a detectable increase in myostatin concentration at myotendinous junctions during muscle unloading. The concentration of myostatin mRNA and protein returned to values not significantly different from ambulatory controls after 4 days of reloading, during which time plantaris mass also returned to control values. However, the results also show that periods of 30 min of daily muscle loading during the unloading period were sufficient to prevent significant losses of muscle mass caused by unloading, although myostatin mRNA still showed a 55 % increase in concentration. Thus, significant increases in myostatin expression are not sufficient for muscle mass loss, although muscle mass loss during unloading is accompanied by increases in myostatin.—Wehling, M., Cai, B., Tidball, J. G. Modulation of myostatin expression during modified muscle use. FASEB J. 14, 103–110","container-title":"FASEB Journal","page":"103–110","source":"CiteSeer","title":"Modulation of myostatin expression during modified muscle use","volume":"14","author":[{"family":"Wehling","given":"Michelle"},{"family":"Cai","given":"Baiyuan"},{"literal":"James"},{"family":"Tidball","given":"G."}],"issued":{"date-parts":[["2000"]]}}}],"schema":"https://github.com/citation-style-language/schema/raw/master/csl-citation.json"} </w:instrText>
      </w:r>
      <w:r w:rsidRPr="006E5062">
        <w:fldChar w:fldCharType="separate"/>
      </w:r>
      <w:r w:rsidR="00DA7707" w:rsidRPr="00DA7707">
        <w:rPr>
          <w:vertAlign w:val="superscript"/>
        </w:rPr>
        <w:t>186</w:t>
      </w:r>
      <w:r w:rsidRPr="006E5062">
        <w:fldChar w:fldCharType="end"/>
      </w:r>
    </w:p>
    <w:p w14:paraId="0C47D828" w14:textId="77777777" w:rsidR="00BA19D2" w:rsidRPr="006E5062" w:rsidRDefault="00BA19D2" w:rsidP="00F06CC9">
      <w:pPr>
        <w:pBdr>
          <w:top w:val="nil"/>
          <w:left w:val="nil"/>
          <w:bottom w:val="nil"/>
          <w:right w:val="nil"/>
          <w:between w:val="nil"/>
        </w:pBdr>
        <w:ind w:right="-15"/>
      </w:pPr>
    </w:p>
    <w:p w14:paraId="1AF782CC" w14:textId="71C4B75E" w:rsidR="00EF51F5" w:rsidRPr="00EF51F5" w:rsidRDefault="00EF51F5" w:rsidP="00F06CC9"/>
    <w:p w14:paraId="2F12FD5B" w14:textId="59E1D60B" w:rsidR="00FB270B" w:rsidRDefault="001205B3" w:rsidP="00634E5C">
      <w:pPr>
        <w:pStyle w:val="Heading5"/>
      </w:pPr>
      <w:bookmarkStart w:id="49" w:name="_Toc88218524"/>
      <w:r>
        <w:t>Inhibitory Effects</w:t>
      </w:r>
      <w:bookmarkEnd w:id="49"/>
    </w:p>
    <w:p w14:paraId="5DCE5ABA" w14:textId="0E36C75A" w:rsidR="008D65A6" w:rsidRDefault="00C034EA" w:rsidP="00A26205">
      <w:bookmarkStart w:id="50" w:name="_Hlk86132196"/>
      <w:r w:rsidRPr="006E5062">
        <w:t>The inhibitory effects of GCs involve disrupting the transport of essential amino acids across the plasma membrane of myocytes, likely preventing the synthesis of proteins necessary to support muscle growth.</w:t>
      </w:r>
      <w:r w:rsidRPr="006E5062">
        <w:fldChar w:fldCharType="begin"/>
      </w:r>
      <w:r w:rsidR="00DA7707">
        <w:instrText xml:space="preserve"> ADDIN ZOTERO_ITEM CSL_CITATION {"citationID":"WKoSUcmy","properties":{"formattedCitation":"\\super 187\\nosupersub{}","plainCitation":"187","noteIndex":0},"citationItems":[{"id":4,"uris":["http://zotero.org/users/6281125/items/9CTVANT6"],"uri":["http://zotero.org/users/6281125/items/9CTVANT6"],"itemData":{"id":4,"type":"article-journal","container-title":"Endocrinology","DOI":"10.1210/endo-79-3-531","ISSN":"00137227","issue":"3","page":"531-540","title":"Role of protein synthesis in the inhibitory action of adrenal steroid hormones on amino acid transport by muscle.","volume":"73","author":[{"family":"Kostyo","given":"J. L."},{"family":"Redmond","given":"A. F."}],"issued":{"date-parts":[["1966"]]}}}],"schema":"https://github.com/citation-style-language/schema/raw/master/csl-citation.json"} </w:instrText>
      </w:r>
      <w:r w:rsidRPr="006E5062">
        <w:fldChar w:fldCharType="separate"/>
      </w:r>
      <w:r w:rsidR="00DA7707" w:rsidRPr="00DA7707">
        <w:rPr>
          <w:vertAlign w:val="superscript"/>
        </w:rPr>
        <w:t>187</w:t>
      </w:r>
      <w:r w:rsidRPr="006E5062">
        <w:fldChar w:fldCharType="end"/>
      </w:r>
      <w:r w:rsidRPr="006E5062">
        <w:t xml:space="preserve"> Glucocorticoids also inhibit the activating action of IGF-I on muscle growth and renewal, which reduces the downstream synthesis of proteins and muscle growth through suppression of IGF-I/PI3K/Akt/mTOR signaling (Figure 1</w:t>
      </w:r>
      <w:r w:rsidR="00466649">
        <w:t>1</w:t>
      </w:r>
      <w:r w:rsidRPr="006E5062">
        <w:t>). This has been shown in studies involving mice receiving 5</w:t>
      </w:r>
      <w:r w:rsidR="00BF1159">
        <w:t>-</w:t>
      </w:r>
      <w:r w:rsidRPr="006E5062">
        <w:t xml:space="preserve">daily injections of triamcinolone or methylprednisolone, revealing </w:t>
      </w:r>
      <w:r w:rsidRPr="00001C91">
        <w:t>decreased IGF-I mRNA and muscle mass compared to pair-fed controls.</w:t>
      </w:r>
      <w:r w:rsidRPr="00001C91">
        <w:fldChar w:fldCharType="begin"/>
      </w:r>
      <w:r w:rsidR="00DA7707">
        <w:instrText xml:space="preserve"> ADDIN ZOTERO_ITEM CSL_CITATION {"citationID":"7D2alKQX","properties":{"formattedCitation":"\\super 188\\nosupersub{}","plainCitation":"188","noteIndex":0},"citationItems":[{"id":836,"uris":["http://zotero.org/users/6281125/items/KVQWMSUS"],"uri":["http://zotero.org/users/6281125/items/KVQWMSUS"],"itemData":{"id":836,"type":"article-journal","abstract":"Massive doses of methylprednisolone (M) or triamcinolone (T) induced diaphragmatic type IIx/b atrophy, resulting in a leftward shift of the force–frequency curve in rats (1). To examine the role of insulin-like growth factors (IGFs) in these changes, IGF mRNA content was measured in costal diaphragm, gastrocnemius, and liver removed from 32 rats treated daily during 5 d either with saline  (control, C and pair-fed, PF), M, or T (80 mg/kg). Blood samples were taken to measure IGF-1 serum  levels. RNA levels were measured by Northern and dot-blots after hybridization with rat IGF-1 or IGF-2  cDNA probes labeled with  α -32P. Compared with C (845  ±  128 ng/ml), IGF-1 serum levels were significantly decreased in M (699  ±  90 ng/ml, p  &lt;  0.001 versus C) and PF animals (505  ±  33 ng/ml, p  &lt;   0.001 versus others) and even more so, in T-treated animals (273  ±  134 ng/ml, p  &lt;  0.001 versus others). Along the same lines, IGF-1 expression in the liver was depressed after corticosteroid treatment  and in PF, whereas IGF-2 mRNA content remained unchanged. Compared with C, the relative expression of IGF-1 mRNA in the diaphragm was depressed by 44% and 69% in the M and T groups, respectively (p  &lt;  0.0001 versus C), while it was unchanged in PF animals. In the gastrocnemius, IGF-1 expression was reduced after M and T ( − 51% and  − 59%, respectively, p  &lt;  0.0001 versus C) as well as  in PF animals ( − 40%, p  &lt;  0.001 versus C). For IGF-2, a similar pattern of expression was found in the  diaphragm and the gastrocnemius. Indeed, IGF-2 mRNA tended to decrease in corticosteroid-treated  rats (NS) whereas it was unchanged in PF rats. We conclude that decreased IGF expression after corticosteroid treatment was similar in diaphragm and gastrocnemius and may be responsible for the  diaphragmatic changes observed after steroid treatment.","container-title":"American Journal of Respiratory and Critical Care Medicine","DOI":"10.1164/ajrccm.159.1.9803021","ISSN":"1073-449X","issue":"1","journalAbbreviation":"Am J Respir Crit Care Med","note":"publisher: American Thoracic Society - AJRCCM","page":"283-289","source":"atsjournals.org (Atypon)","title":"Acute Treatment with Corticosteroids Decreases IGF-1 and IGF-2 Expression in the Rat Diaphragm and Gastrocnemius","volume":"159","author":[{"family":"Gayan-Ramirez","given":"Ghislaine"},{"family":"Vanderhoydonc","given":"Frank"},{"family":"Verhoeven","given":"Guido"},{"family":"Decramer","given":"Marc"}],"issued":{"date-parts":[["1999",1,1]]}}}],"schema":"https://github.com/citation-style-language/schema/raw/master/csl-citation.json"} </w:instrText>
      </w:r>
      <w:r w:rsidRPr="00001C91">
        <w:fldChar w:fldCharType="separate"/>
      </w:r>
      <w:r w:rsidR="00DA7707" w:rsidRPr="00DA7707">
        <w:rPr>
          <w:vertAlign w:val="superscript"/>
        </w:rPr>
        <w:t>188</w:t>
      </w:r>
      <w:r w:rsidRPr="00001C91">
        <w:fldChar w:fldCharType="end"/>
      </w:r>
      <w:r w:rsidRPr="00001C91">
        <w:t xml:space="preserve"> Studies in humans receiving daily oral dexamethasone for 4</w:t>
      </w:r>
      <w:r w:rsidR="00434517">
        <w:t>-</w:t>
      </w:r>
      <w:r w:rsidRPr="00001C91">
        <w:t>days reveal decreased levels of skeletal muscle IGF-I mRNA expression</w:t>
      </w:r>
      <w:r w:rsidRPr="006E5062">
        <w:t xml:space="preserve"> from leg muscle biopsies compared to biopsies taken pre-GC administration.</w:t>
      </w:r>
      <w:r w:rsidRPr="006E5062">
        <w:fldChar w:fldCharType="begin"/>
      </w:r>
      <w:r w:rsidR="00DA7707">
        <w:instrText xml:space="preserve"> ADDIN ZOTERO_ITEM CSL_CITATION {"citationID":"T5a6ZHxE","properties":{"formattedCitation":"\\super 189\\nosupersub{}","plainCitation":"189","noteIndex":0},"citationItems":[{"id":839,"uris":["http://zotero.org/users/6281125/items/G5LNGD9E"],"uri":["http://zotero.org/users/6281125/items/G5LNGD9E"],"itemData":{"id":839,"type":"article-journal","abstract":"Context Glucocorticoids are a well-recognized cause of muscle weakness. The early effects of glucocorticoids on skeletal muscle (SkM) androgen and IGF-1 pathways have not been previously investigated in human subjects. Objective To determine if administration of the potent glucocorticoid dexamethasone down-regulates SkM androgen receptor and the IGF-1 signalling pathway. Methods and subjects Twenty-four subjects (12 men and 12 women), including 12 with type 2 diabetes and 12 nondiabetics were enrolled. Venous blood sampling and biopsy of vastus lateralis were performed before and after administration of oral dexamethasone 4 mg/day for 4 days. Main outcome measures Changes in plasma testosterone and IGF-1, SkM androgen receptor mRNA, SkM IGF-1mRNA and SkM IGF-1 receptor mRNA by quantitative RT-PCR after dexamethasone. Results Relative expression of SkM androgen receptor was similar in male (1·63 ± 0·37) vs. female (1·57 ± 0·30) subjects, despite the significant difference in plasma testosterone levels. Plasma IGF-1 and SkM expression of IGF-1 and IGF-1 receptor were also similar between males and females. Following dexamethasone, there was a significant down-regulation of SkM androgen receptor (1·60 ± 0·23 vs. 1·11 ± 0·16, P &lt; 0·05) and IGF-1 (1·72 ± 0·29 vs. 1·06 ± 0·14, P &lt; 0·05) mRNA, but no change in expression of the IGF-1 receptor. Plasma testosterone fell significantly in both sexes (male: 15·0 ± 1·3 vs. 11·3 ± 1·2 nmol/l, P &lt; 0·01, female: 1·8 ± 0·5 vs. 0·5 ± 0·1 nmol/l, P &lt; 0·05). Conclusions Exogenous steroid excess results in relative androgen deficiency at two levels, reduced circulating testosterone and SkM androgen receptor mRNA, along with reduced SkM IGF-1 mRNA. These defects may contribute to the development of steroid-induced myopathy.","container-title":"Clinical Endocrinology","DOI":"10.1111/j.1365-2265.2009.03683.x","ISSN":"1365-2265","issue":"1","language":"en","note":"_eprint: https://onlinelibrary.wiley.com/doi/pdf/10.1111/j.1365-2265.2009.03683.x","page":"126-132","source":"Wiley Online Library","title":"Dexamethasone administration inhibits skeletal muscle expression of the androgen receptor and IGF-1 – implications for steroid-induced myopathy","volume":"73","author":[{"family":"Inder","given":"Warrick J."},{"family":"Jang","given":"Christina"},{"family":"Obeyesekere","given":"Varuni R."},{"family":"Alford","given":"Frank P."}],"issued":{"date-parts":[["2010"]]}}}],"schema":"https://github.com/citation-style-language/schema/raw/master/csl-citation.json"} </w:instrText>
      </w:r>
      <w:r w:rsidRPr="006E5062">
        <w:fldChar w:fldCharType="separate"/>
      </w:r>
      <w:r w:rsidR="00DA7707" w:rsidRPr="00DA7707">
        <w:rPr>
          <w:vertAlign w:val="superscript"/>
        </w:rPr>
        <w:t>189</w:t>
      </w:r>
      <w:r w:rsidRPr="006E5062">
        <w:fldChar w:fldCharType="end"/>
      </w:r>
      <w:r w:rsidRPr="006E5062">
        <w:t xml:space="preserve"> Additional evidence of inhibitory effects of GCs include GC mediated decreases in IRS-1, an upstream component of the PI3K/AKT/mTOR pathway responsible for protein synthesis</w:t>
      </w:r>
      <w:r w:rsidR="00466649">
        <w:t>.</w:t>
      </w:r>
      <w:r w:rsidRPr="006E5062">
        <w:fldChar w:fldCharType="begin"/>
      </w:r>
      <w:r w:rsidR="00DA7707">
        <w:instrText xml:space="preserve"> ADDIN ZOTERO_ITEM CSL_CITATION {"citationID":"bfTL2Dl6","properties":{"formattedCitation":"\\super 190\\nosupersub{}","plainCitation":"190","noteIndex":0},"citationItems":[{"id":833,"uris":["http://zotero.org/users/6281125/items/Z7LY3QQ2"],"uri":["http://zotero.org/users/6281125/items/Z7LY3QQ2"],"itemData":{"id":833,"type":"article-journal","abstract":"Skeletal muscle atrophy caused by unloading is characterized by both decreased responsiveness to myogenic growth factors (e.g., insulin-like growth factor 1 [IGF-1] and insulin) and increased proteolysis. Here, we show that unloading stress resulted in skeletal muscle atrophy through the induction and activation of the ubiquitin ligase Cbl-b. Upon induction, Cbl-b interacted with and degraded the IGF-1 signaling intermediate IRS-1. In turn, the loss of IRS-1 activated the FOXO3-dependent induction of atrogin-1/MAFbx, a dominant mediator of proteolysis in atrophic muscle. Cbl-b-deficient mice were resistant to unloading-induced atrophy and the loss of muscle function. Furthermore, a pentapeptide mimetic of tyrosine(608)-phosphorylated IRS-1 inhibited Cbl-b-mediated IRS-1 ubiquitination and strongly decreased the Cbl-b-mediated induction of atrogin-1/MAFbx. Our results indicate that the Cbl-b-dependent destruction of IRS-1 is a critical dual mediator of both increased protein degradation and reduced protein synthesis observed in unloading-induced muscle atrophy. The inhibition of Cbl-b-mediated ubiquitination may be a new therapeutic strategy for unloading-mediated muscle atrophy.","container-title":"Molecular and Cellular Biology","DOI":"10.1128/MCB.01347-08","ISSN":"1098-5549","issue":"17","journalAbbreviation":"Mol. Cell. Biol.","language":"eng","note":"PMID: 19546233\nPMCID: PMC2725709","page":"4798-4811","source":"PubMed","title":"Ubiquitin ligase Cbl-b is a negative regulator for insulin-like growth factor 1 signaling during muscle atrophy caused by unloading","volume":"29","author":[{"family":"Nakao","given":"Reiko"},{"family":"Hirasaka","given":"Katsuya"},{"family":"Goto","given":"Jumpei"},{"family":"Ishidoh","given":"Kazumi"},{"family":"Yamada","given":"Chiharu"},{"family":"Ohno","given":"Ayako"},{"family":"Okumura","given":"Yuushi"},{"family":"Nonaka","given":"Ikuya"},{"family":"Yasutomo","given":"Koji"},{"family":"Baldwin","given":"Kenneth M."},{"family":"Kominami","given":"Eiki"},{"family":"Higashibata","given":"Akira"},{"family":"Nagano","given":"Keisuke"},{"family":"Tanaka","given":"Keiji"},{"family":"Yasui","given":"Natsuo"},{"family":"Mills","given":"Edward M."},{"family":"Takeda","given":"Shin'ichi"},{"family":"Nikawa","given":"Takeshi"}],"issued":{"date-parts":[["2009",9]]}}}],"schema":"https://github.com/citation-style-language/schema/raw/master/csl-citation.json"} </w:instrText>
      </w:r>
      <w:r w:rsidRPr="006E5062">
        <w:fldChar w:fldCharType="separate"/>
      </w:r>
      <w:r w:rsidR="00DA7707" w:rsidRPr="00DA7707">
        <w:rPr>
          <w:vertAlign w:val="superscript"/>
        </w:rPr>
        <w:t>190</w:t>
      </w:r>
      <w:r w:rsidRPr="006E5062">
        <w:fldChar w:fldCharType="end"/>
      </w:r>
    </w:p>
    <w:bookmarkEnd w:id="50"/>
    <w:p w14:paraId="2F9E02D5" w14:textId="77777777" w:rsidR="00A26205" w:rsidRDefault="00A26205" w:rsidP="00A26205"/>
    <w:p w14:paraId="795C6B42" w14:textId="77777777" w:rsidR="009E20B2" w:rsidRDefault="008D65A6" w:rsidP="009E20B2">
      <w:pPr>
        <w:keepNext/>
        <w:ind w:firstLine="0"/>
        <w:jc w:val="center"/>
      </w:pPr>
      <w:r>
        <w:rPr>
          <w:noProof/>
        </w:rPr>
        <w:drawing>
          <wp:inline distT="0" distB="0" distL="0" distR="0" wp14:anchorId="365352FF" wp14:editId="6ACF9F58">
            <wp:extent cx="5841526" cy="3498208"/>
            <wp:effectExtent l="19050" t="19050" r="26035" b="266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9">
                      <a:extLst>
                        <a:ext uri="{28A0092B-C50C-407E-A947-70E740481C1C}">
                          <a14:useLocalDpi xmlns:a14="http://schemas.microsoft.com/office/drawing/2010/main" val="0"/>
                        </a:ext>
                      </a:extLst>
                    </a:blip>
                    <a:srcRect t="696" b="942"/>
                    <a:stretch/>
                  </pic:blipFill>
                  <pic:spPr bwMode="auto">
                    <a:xfrm>
                      <a:off x="0" y="0"/>
                      <a:ext cx="5852542" cy="350480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46EF23D" w14:textId="673DA127" w:rsidR="00C034EA" w:rsidRPr="00C034EA" w:rsidRDefault="009E20B2" w:rsidP="009E20B2">
      <w:pPr>
        <w:pStyle w:val="Caption"/>
      </w:pPr>
      <w:bookmarkStart w:id="51" w:name="_Toc88218604"/>
      <w:r>
        <w:t xml:space="preserve">Figure </w:t>
      </w:r>
      <w:r>
        <w:fldChar w:fldCharType="begin"/>
      </w:r>
      <w:r>
        <w:instrText xml:space="preserve"> SEQ Figure \* ARABIC </w:instrText>
      </w:r>
      <w:r>
        <w:fldChar w:fldCharType="separate"/>
      </w:r>
      <w:r w:rsidR="00CD04FC">
        <w:t>11</w:t>
      </w:r>
      <w:r>
        <w:fldChar w:fldCharType="end"/>
      </w:r>
      <w:r>
        <w:t>. Inhib</w:t>
      </w:r>
      <w:r w:rsidR="00F130F2">
        <w:t>i</w:t>
      </w:r>
      <w:r>
        <w:t>tory effect of GCs on prot</w:t>
      </w:r>
      <w:r w:rsidR="00BF1159">
        <w:t>ei</w:t>
      </w:r>
      <w:r>
        <w:t>n sy</w:t>
      </w:r>
      <w:r w:rsidR="00F130F2">
        <w:t>n</w:t>
      </w:r>
      <w:r>
        <w:t>thesis and muscle growth</w:t>
      </w:r>
      <w:bookmarkEnd w:id="51"/>
      <w:r>
        <w:t xml:space="preserve"> </w:t>
      </w:r>
    </w:p>
    <w:p w14:paraId="47DD48B3" w14:textId="7FCAFDE4" w:rsidR="00C034EA" w:rsidRDefault="00C034EA">
      <w:pPr>
        <w:pStyle w:val="Heading5"/>
      </w:pPr>
      <w:bookmarkStart w:id="52" w:name="_Toc88218525"/>
      <w:r>
        <w:t>Stimulatory Effects</w:t>
      </w:r>
      <w:bookmarkEnd w:id="52"/>
      <w:r>
        <w:t xml:space="preserve"> </w:t>
      </w:r>
    </w:p>
    <w:p w14:paraId="1B800EB4" w14:textId="0A8AF26A" w:rsidR="00BB4236" w:rsidRDefault="009028DA" w:rsidP="009028DA">
      <w:pPr>
        <w:rPr>
          <w:lang w:eastAsia="ko-KR"/>
        </w:rPr>
      </w:pPr>
      <w:r w:rsidRPr="006E5062">
        <w:t xml:space="preserve">The stimulatory effects of GCs are believed to involve activation of the UPS primarily through the stimulation of myostatin (Figure </w:t>
      </w:r>
      <w:r w:rsidR="00D32860">
        <w:t>1</w:t>
      </w:r>
      <w:r w:rsidRPr="006E5062">
        <w:t>2).</w:t>
      </w:r>
      <w:r w:rsidRPr="006E5062">
        <w:fldChar w:fldCharType="begin"/>
      </w:r>
      <w:r w:rsidR="00DA7707">
        <w:instrText xml:space="preserve"> ADDIN ZOTERO_ITEM CSL_CITATION {"citationID":"pDhJavqL","properties":{"formattedCitation":"\\super 191\\nosupersub{}","plainCitation":"191","noteIndex":0},"citationItems":[{"id":693,"uris":["http://zotero.org/users/6281125/items/CHSJMADR"],"uri":["http://zotero.org/users/6281125/items/CHSJMADR"],"itemData":{"id":693,"type":"article-journal","abstract":"Many pathological states characterized by muscle atrophy (e.g., sepsis, cachexia, starvation, metabolic acidosis and severe insulinopenia) are associated with an increase in circulating glucocorticoids (GC) levels, suggesting that GC could trigger the muscle atrophy observed in these conditions. GC-induced muscle atrophy is characterized by fast-twitch, glycolytic muscles atrophy illustrated by decreased ﬁber cross-sectional area and reduced myoﬁbrillar protein content. GC-induced muscle atrophy results from increased protein breakdown and decreased protein synthesis. Increased muscle proteolysis, in particular through the activation of the ubiquitin proteasome and the lysosomal systems, is considered to play a major role in the catabolic action of GC. The stimulation by GC of these two proteolytic systems is mediated through the increased expression of several Atrogenes (“genes involved in atrophy”), such as FOXO, Atrogin-1, and MuRF-1. The inhibitory effect of GC on muscle protein synthesis is thought to result mainly from the inhibition of the mTOR/S6 kinase 1 pathway. These changes in muscle protein turnover could be explained by changes in the muscle production of two growth factors, namely Insulin-like Growth Factor (IGF)-I, a muscle anabolic growth factor and Myostatin, a muscle catabolic growth factor. This review will discuss the recent progress made in the understanding of the mechanisms involved in GC-induced muscle atrophy and consider the implications of these advancements in the development of new therapeutic approaches for treating GC-induced myopathy.","container-title":"The International Journal of Biochemistry &amp; Cell Biology","DOI":"10.1016/j.biocel.2013.05.036","ISSN":"13572725","issue":"10","journalAbbreviation":"The International Journal of Biochemistry &amp; Cell Biology","language":"en","page":"2163-2172","source":"DOI.org (Crossref)","title":"Glucocorticoid-induced skeletal muscle atrophy","volume":"45","author":[{"family":"Schakman","given":"O."},{"family":"Kalista","given":"S."},{"family":"Barbé","given":"C."},{"family":"Loumaye","given":"A."},{"family":"Thissen","given":"J.P."}],"issued":{"date-parts":[["2013",10]]}}}],"schema":"https://github.com/citation-style-language/schema/raw/master/csl-citation.json"} </w:instrText>
      </w:r>
      <w:r w:rsidRPr="006E5062">
        <w:fldChar w:fldCharType="separate"/>
      </w:r>
      <w:r w:rsidR="00DA7707" w:rsidRPr="00DA7707">
        <w:rPr>
          <w:vertAlign w:val="superscript"/>
        </w:rPr>
        <w:t>191</w:t>
      </w:r>
      <w:r w:rsidRPr="006E5062">
        <w:fldChar w:fldCharType="end"/>
      </w:r>
      <w:r w:rsidRPr="006E5062">
        <w:t xml:space="preserve"> Myostatin has been found to be upregulated </w:t>
      </w:r>
      <w:r w:rsidRPr="00595271">
        <w:rPr>
          <w:i/>
          <w:iCs/>
        </w:rPr>
        <w:t>in</w:t>
      </w:r>
      <w:r w:rsidR="00595271">
        <w:rPr>
          <w:i/>
          <w:iCs/>
        </w:rPr>
        <w:t>-</w:t>
      </w:r>
      <w:r w:rsidRPr="00595271">
        <w:rPr>
          <w:i/>
          <w:iCs/>
        </w:rPr>
        <w:t>vitro</w:t>
      </w:r>
      <w:r w:rsidRPr="006E5062">
        <w:t xml:space="preserve"> in human cell lines</w:t>
      </w:r>
      <w:r w:rsidRPr="006E5062">
        <w:fldChar w:fldCharType="begin"/>
      </w:r>
      <w:r w:rsidR="00DA7707">
        <w:instrText xml:space="preserve"> ADDIN ZOTERO_ITEM CSL_CITATION {"citationID":"NYR5c7rA","properties":{"formattedCitation":"\\super 192\\nosupersub{}","plainCitation":"192","noteIndex":0},"citationItems":[{"id":828,"uris":["http://zotero.org/users/6281125/items/MFLZHLB7"],"uri":["http://zotero.org/users/6281125/items/MFLZHLB7"],"itemData":{"id":828,"type":"article-journal","abstract":"We cloned and characterized a 3.3-kb fragment containing the 5′-regulatory region of the human myostatin gene. The promoter sequence contains putative muscle growth response elements for glucocorticoid, androgen, thyroid hormone, myogenic differentiation factor 1, myocyte enhancer factor 2, peroxisome proliferator-activated receptor, and nuclear factor-κB. To identify sites important for myostatin's gene transcription and regulation, eight deletion constructs were placed in C2C12 and L6 skeletal muscle cells. Transcriptional activity of the constructs was found to be significantly higher in myotubes compared with that of myoblasts. To investigate whether glucocorticoids regulate myostatin gene expression, we incubated both cell lines with dexamethasone. On both occasions, dexamethasone dose dependently increased both the promoter's transcriptional activity and the endogenous myostatin expression. The effects of dexamethasone were blocked when the cells were coincubated with the glucocorticoid receptor antagonist RU-486. These findings suggest that glucocorticoids upregulate myostatin expression by inducing gene transcription, possibly through a glucocorticoid receptor-mediated pathway. We speculate that glucocorticoid-associated muscle atrophy might be due in part to the upregulation of myostatin expression.","container-title":"American Journal of Physiology-Endocrinology and Metabolism","DOI":"10.1152/ajpendo.2001.281.6.E1128","ISSN":"0193-1849","issue":"6","journalAbbreviation":"American Journal of Physiology-Endocrinology and Metabolism","note":"publisher: American Physiological Society","page":"E1128-E1136","source":"journals.physiology.org (Atypon)","title":"Characterization of 5′-regulatory region of human  myostatin gene: regulation by dexamethasone in vitro","title-short":"Characterization of 5′-regulatory region of human  myostatin gene","volume":"281","author":[{"family":"Ma","given":"Kun"},{"family":"Mallidis","given":"Con"},{"family":"Artaza","given":"Jorge"},{"family":"Taylor","given":"Wayne"},{"family":"Gonzalez-Cadavid","given":"Nestor"},{"family":"Bhasin","given":"Shalender"}],"issued":{"date-parts":[["2001",12,1]]}}}],"schema":"https://github.com/citation-style-language/schema/raw/master/csl-citation.json"} </w:instrText>
      </w:r>
      <w:r w:rsidRPr="006E5062">
        <w:fldChar w:fldCharType="separate"/>
      </w:r>
      <w:r w:rsidR="00DA7707" w:rsidRPr="00DA7707">
        <w:rPr>
          <w:vertAlign w:val="superscript"/>
        </w:rPr>
        <w:t>192</w:t>
      </w:r>
      <w:r w:rsidRPr="006E5062">
        <w:fldChar w:fldCharType="end"/>
      </w:r>
      <w:r w:rsidRPr="006E5062">
        <w:t xml:space="preserve"> and </w:t>
      </w:r>
      <w:r w:rsidRPr="00595271">
        <w:rPr>
          <w:i/>
          <w:iCs/>
        </w:rPr>
        <w:t>in</w:t>
      </w:r>
      <w:r w:rsidR="00595271">
        <w:rPr>
          <w:i/>
          <w:iCs/>
        </w:rPr>
        <w:t>-</w:t>
      </w:r>
      <w:r w:rsidRPr="00595271">
        <w:rPr>
          <w:i/>
          <w:iCs/>
        </w:rPr>
        <w:t>vivo</w:t>
      </w:r>
      <w:r w:rsidRPr="006E5062">
        <w:t xml:space="preserve"> in mice</w:t>
      </w:r>
      <w:r w:rsidRPr="006E5062">
        <w:fldChar w:fldCharType="begin"/>
      </w:r>
      <w:r w:rsidR="00DA7707">
        <w:instrText xml:space="preserve"> ADDIN ZOTERO_ITEM CSL_CITATION {"citationID":"wOfXuw0U","properties":{"formattedCitation":"\\super 193\\nosupersub{}","plainCitation":"193","noteIndex":0},"citationItems":[{"id":741,"uris":["http://zotero.org/users/6281125/items/R7PPD5W4"],"uri":["http://zotero.org/users/6281125/items/R7PPD5W4"],"itemData":{"id":741,"type":"article-journal","abstract":"The mechanisms by which excessive glucocorticoids cause muscular atrophy remain unclear. We previously demonstrated that dexamethasone increases the expression of myostatin, a negative regulator of skeletal muscle mass, in vitro. In the present study, we tested the hypothesis that dexamethasone-induced muscle loss is associated with increased myostatin expression in vivo. Daily administration (60, 600, 1,200 micro g/kg body wt) of dexamethasone for 5 days resulted in rapid, dose-dependent loss of body weight (-4.0, -13.4, -17.2%, respectively, P &lt; 0.05 for each comparison), and muscle atrophy (6.3, 15.0, 16.6% below controls, respectively). These changes were associated with dose-dependent, marked induction of intramuscular myostatin mRNA (66.3, 450, 527.6% increase above controls, P &lt; 0.05 for each comparison) and protein expression (0.0, 260.5, 318.4% increase above controls, P &lt; 0.05). We found that the effect of dexamethasone on body weight and muscle loss and upregulation of intramuscular myostatin expression was time dependent. When dexamethasone treatment (600 micro g. kg-1. day-1) was extended from 5 to 10 days, the rate of body weight loss was markedly reduced to approximately 2% within this extended period. The concentrations of intramuscular myosin heavy chain type II in dexamethasone-treated rats were significantly lower (-43% after 5-day treatment, -14% after 10-day treatment) than their respective corresponding controls. The intramuscular myostatin concentration in rats treated with dexamethasone for 10 days returned to basal level. Concurrent treatment with RU-486 blocked dexamethasone-induced myostatin expression and significantly attenuated body loss and muscle atrophy. We propose that dexamethasone-induced muscle loss is mediated, at least in part, by the upregulation of myostatin expression through a glucocorticoid receptor-mediated pathway.","container-title":"American journal of physiology. Endocrinology and metabolism","DOI":"10.1152/ajpendo.00487.2002","issue":"2","page":"NaN-NaN","source":"Semantic Scholar","title":"Glucocorticoid-induced skeletal muscle atrophy is associated with upregulation of myostatin gene expression.","volume":"285","author":[{"family":"Ma","given":"Kun"},{"family":"Mallidis","given":"Con"},{"family":"Bhasin","given":"Shalender"},{"family":"Mahabadi","given":"Vahid Pirhajati"},{"family":"Artaza","given":"Jorge Romero"},{"family":"González-Cadavid","given":"Néstor F."},{"family":"Arias","given":"José"},{"family":"Salehian","given":"Behrouz"}],"issued":{"date-parts":[["2003"]]}}}],"schema":"https://github.com/citation-style-language/schema/raw/master/csl-citation.json"} </w:instrText>
      </w:r>
      <w:r w:rsidRPr="006E5062">
        <w:fldChar w:fldCharType="separate"/>
      </w:r>
      <w:r w:rsidR="00DA7707" w:rsidRPr="00DA7707">
        <w:rPr>
          <w:vertAlign w:val="superscript"/>
        </w:rPr>
        <w:t>193</w:t>
      </w:r>
      <w:r w:rsidRPr="006E5062">
        <w:fldChar w:fldCharType="end"/>
      </w:r>
      <w:r w:rsidRPr="006E5062">
        <w:t xml:space="preserve"> after dexamethasone treatment.</w:t>
      </w:r>
      <w:r>
        <w:t xml:space="preserve"> For example,</w:t>
      </w:r>
      <w:r w:rsidRPr="006E5062">
        <w:t xml:space="preserve"> mice treated with </w:t>
      </w:r>
      <w:hyperlink r:id="rId30" w:tooltip="Learn more about Dexamethasone from ScienceDirect's AI-generated Topic Pages" w:history="1">
        <w:r w:rsidRPr="006E5062">
          <w:t>dexamethasone</w:t>
        </w:r>
      </w:hyperlink>
      <w:r w:rsidRPr="006E5062">
        <w:t xml:space="preserve"> showed myofibrillar disorganization and degradation accompanied by increased myostatin gene expression.</w:t>
      </w:r>
      <w:r w:rsidRPr="006E5062">
        <w:fldChar w:fldCharType="begin"/>
      </w:r>
      <w:r w:rsidR="00DA7707">
        <w:instrText xml:space="preserve"> ADDIN ZOTERO_ITEM CSL_CITATION {"citationID":"nboKL5Pd","properties":{"formattedCitation":"\\super 194\\nosupersub{}","plainCitation":"194","noteIndex":0},"citationItems":[{"id":716,"uris":["http://zotero.org/users/6281125/items/85DR4WDP"],"uri":["http://zotero.org/users/6281125/items/85DR4WDP"],"itemData":{"id":716,"type":"article-journal","abstract":"Some recent studies showed that the glucocorticoid-induced muscle atrophy was associated with myostatin, a negative regulator of skeletal muscle. In this study, two experiments were performed to investigate the relationship between the glucocorticoid-induced ultrastructural changes in skeletal muscle and the myostatin gene expression, and to examine in vivo whether the glucocorticoid-induced upregulation of myostatin gene expression is associated with the myostatin promoter activity. In the ﬁrst experiment, the Kun-Ming mice with similar body weights were treated with high-dose dexamethasone. The results showed that high-dose dexamethasone caused myoﬁbrillar disorganization or degradation and mitochondrial swelling or vacuolization, which were accompanied with the upregulation of myostatin expression. In the second experiment, the mice were treated with the wild-type or GRE (glucocorticoid response elements)-mutant myostatin promoter vector and high-dose dexamethasone alone or together with RU486. The results showed that the mutation of GRE motif resulted in the obvious decrease of the myostatin promoter activity, the high-dose dexamethasone promoted signiﬁcantly the activity of the wildtype myostatin promoter but did not affect the activity of the GRE-mutant myostatin promoter, and RU486 inhibited the effect of dexamethasone on the wild-type myostatin promoter activity. Taken together, these results suggested that the dexamethasone-induced changes in ultrastructure of skeletal muscle were associated with the upregulation of myostatin gene expression and the upregulation was partly attributed to the binding of glucocorticoid receptor to GRE motifs along myostatin promoter.","container-title":"Research in Veterinary Science","DOI":"10.1016/j.rvsc.2012.07.018","ISSN":"00345288","issue":"1","journalAbbreviation":"Research in Veterinary Science","language":"en","page":"84-89","source":"DOI.org (Crossref)","title":"Dexamethasone-induced skeletal muscle atrophy was associated with upregulation of myostatin promoter activity","volume":"94","author":[{"family":"Qin","given":"Jian"},{"family":"Du","given":"Rong"},{"family":"Yang","given":"Ya-Qun"},{"family":"Zhang","given":"Hong-Qiang"},{"family":"Li","given":"Qing"},{"family":"Liu","given":"Lin"},{"family":"Guan","given":"Hong"},{"family":"Hou","given":"Jian"},{"family":"An","given":"Xiao-Rong"}],"issued":{"date-parts":[["2013",2]]}}}],"schema":"https://github.com/citation-style-language/schema/raw/master/csl-citation.json"} </w:instrText>
      </w:r>
      <w:r w:rsidRPr="006E5062">
        <w:fldChar w:fldCharType="separate"/>
      </w:r>
      <w:r w:rsidR="00DA7707" w:rsidRPr="00DA7707">
        <w:rPr>
          <w:vertAlign w:val="superscript"/>
        </w:rPr>
        <w:t>194</w:t>
      </w:r>
      <w:r w:rsidRPr="006E5062">
        <w:fldChar w:fldCharType="end"/>
      </w:r>
      <w:r w:rsidRPr="006E5062">
        <w:t xml:space="preserve"> </w:t>
      </w:r>
      <w:r>
        <w:t xml:space="preserve">To further support </w:t>
      </w:r>
      <w:r w:rsidR="00B93275">
        <w:t>the</w:t>
      </w:r>
      <w:r>
        <w:t xml:space="preserve"> role of myostatin in regulating muscle growth</w:t>
      </w:r>
      <w:r w:rsidRPr="006E5062">
        <w:t xml:space="preserve">, </w:t>
      </w:r>
      <w:r>
        <w:t xml:space="preserve">a study </w:t>
      </w:r>
      <w:r w:rsidR="00B93275">
        <w:t xml:space="preserve">in </w:t>
      </w:r>
      <w:r w:rsidRPr="006E5062">
        <w:t>mice lacking the myostatin gene were resistant to muscle atrophy after dexamethasone treatment compared to wild</w:t>
      </w:r>
      <w:r w:rsidR="00F03569">
        <w:t>-</w:t>
      </w:r>
      <w:r w:rsidRPr="006E5062">
        <w:t>type mice.</w:t>
      </w:r>
      <w:r w:rsidRPr="006E5062">
        <w:fldChar w:fldCharType="begin"/>
      </w:r>
      <w:r w:rsidR="00DA7707">
        <w:instrText xml:space="preserve"> ADDIN ZOTERO_ITEM CSL_CITATION {"citationID":"hGuh7PT9","properties":{"formattedCitation":"\\super 195\\nosupersub{}","plainCitation":"195","noteIndex":0},"citationItems":[{"id":687,"uris":["http://zotero.org/users/6281125/items/ARITWP2X"],"uri":["http://zotero.org/users/6281125/items/ARITWP2X"],"itemData":{"id":687,"type":"article-journal","container-title":"Endocrinology","DOI":"10.1210/en.2006-0539","ISSN":"0013-7227, 1945-7170","issue":"1","journalAbbreviation":"Endocrinology","language":"en","page":"452-460","source":"DOI.org (Crossref)","title":"Myostatin Gene Deletion Prevents Glucocorticoid-Induced Muscle Atrophy","volume":"148","author":[{"family":"Gilson","given":"H."},{"family":"Schakman","given":"O."},{"family":"Combaret","given":"L."},{"family":"Lause","given":"P."},{"family":"Grobet","given":"L."},{"family":"Attaix","given":"D."},{"family":"Ketelslegers","given":"J. M."},{"family":"Thissen","given":"J. P."}],"issued":{"date-parts":[["2007",1]]}}}],"schema":"https://github.com/citation-style-language/schema/raw/master/csl-citation.json"} </w:instrText>
      </w:r>
      <w:r w:rsidRPr="006E5062">
        <w:fldChar w:fldCharType="separate"/>
      </w:r>
      <w:r w:rsidR="00DA7707" w:rsidRPr="00DA7707">
        <w:rPr>
          <w:vertAlign w:val="superscript"/>
        </w:rPr>
        <w:t>195</w:t>
      </w:r>
      <w:r w:rsidRPr="006E5062">
        <w:fldChar w:fldCharType="end"/>
      </w:r>
      <w:r w:rsidRPr="006E5062">
        <w:t xml:space="preserve"> These marked GC</w:t>
      </w:r>
      <w:r w:rsidR="00F03569">
        <w:t>-</w:t>
      </w:r>
      <w:r w:rsidRPr="006E5062">
        <w:t>induced shifts in myostatin are thought to stimulate the previously described downstream targets that induce muscle protein degradation,</w:t>
      </w:r>
      <w:r w:rsidRPr="006E5062">
        <w:fldChar w:fldCharType="begin"/>
      </w:r>
      <w:r w:rsidR="00DA7707">
        <w:instrText xml:space="preserve"> ADDIN ZOTERO_ITEM CSL_CITATION {"citationID":"ZK3FZ6DC","properties":{"formattedCitation":"\\super 191\\nosupersub{}","plainCitation":"191","noteIndex":0},"citationItems":[{"id":693,"uris":["http://zotero.org/users/6281125/items/CHSJMADR"],"uri":["http://zotero.org/users/6281125/items/CHSJMADR"],"itemData":{"id":693,"type":"article-journal","abstract":"Many pathological states characterized by muscle atrophy (e.g., sepsis, cachexia, starvation, metabolic acidosis and severe insulinopenia) are associated with an increase in circulating glucocorticoids (GC) levels, suggesting that GC could trigger the muscle atrophy observed in these conditions. GC-induced muscle atrophy is characterized by fast-twitch, glycolytic muscles atrophy illustrated by decreased ﬁber cross-sectional area and reduced myoﬁbrillar protein content. GC-induced muscle atrophy results from increased protein breakdown and decreased protein synthesis. Increased muscle proteolysis, in particular through the activation of the ubiquitin proteasome and the lysosomal systems, is considered to play a major role in the catabolic action of GC. The stimulation by GC of these two proteolytic systems is mediated through the increased expression of several Atrogenes (“genes involved in atrophy”), such as FOXO, Atrogin-1, and MuRF-1. The inhibitory effect of GC on muscle protein synthesis is thought to result mainly from the inhibition of the mTOR/S6 kinase 1 pathway. These changes in muscle protein turnover could be explained by changes in the muscle production of two growth factors, namely Insulin-like Growth Factor (IGF)-I, a muscle anabolic growth factor and Myostatin, a muscle catabolic growth factor. This review will discuss the recent progress made in the understanding of the mechanisms involved in GC-induced muscle atrophy and consider the implications of these advancements in the development of new therapeutic approaches for treating GC-induced myopathy.","container-title":"The International Journal of Biochemistry &amp; Cell Biology","DOI":"10.1016/j.biocel.2013.05.036","ISSN":"13572725","issue":"10","journalAbbreviation":"The International Journal of Biochemistry &amp; Cell Biology","language":"en","page":"2163-2172","source":"DOI.org (Crossref)","title":"Glucocorticoid-induced skeletal muscle atrophy","volume":"45","author":[{"family":"Schakman","given":"O."},{"family":"Kalista","given":"S."},{"family":"Barbé","given":"C."},{"family":"Loumaye","given":"A."},{"family":"Thissen","given":"J.P."}],"issued":{"date-parts":[["2013",10]]}}}],"schema":"https://github.com/citation-style-language/schema/raw/master/csl-citation.json"} </w:instrText>
      </w:r>
      <w:r w:rsidRPr="006E5062">
        <w:fldChar w:fldCharType="separate"/>
      </w:r>
      <w:r w:rsidR="00DA7707" w:rsidRPr="00DA7707">
        <w:rPr>
          <w:vertAlign w:val="superscript"/>
        </w:rPr>
        <w:t>191</w:t>
      </w:r>
      <w:r w:rsidRPr="006E5062">
        <w:fldChar w:fldCharType="end"/>
      </w:r>
      <w:r w:rsidRPr="006E5062">
        <w:t xml:space="preserve"> as demonstrated by </w:t>
      </w:r>
      <w:r w:rsidRPr="005C20A4">
        <w:t>increases in MuRF-1</w:t>
      </w:r>
      <w:r w:rsidRPr="005C20A4">
        <w:fldChar w:fldCharType="begin"/>
      </w:r>
      <w:r w:rsidR="00DA7707">
        <w:instrText xml:space="preserve"> ADDIN ZOTERO_ITEM CSL_CITATION {"citationID":"NeGKGkkh","properties":{"formattedCitation":"\\super 195,196\\nosupersub{}","plainCitation":"195,196","noteIndex":0},"citationItems":[{"id":1654,"uris":["http://zotero.org/users/6281125/items/XKP2SEFX"],"uri":["http://zotero.org/users/6281125/items/XKP2SEFX"],"itemData":{"id":1654,"type":"article-journal","container-title":"The Journal of Trauma: Injury, Infection, and Critical Care","DOI":"10.1097/TA.0b013e31817e7420","ISSN":"0022-5282","issue":"4","journalAbbreviation":"The Journal of Trauma: Injury, Infection, and Critical Care","language":"en","page":"1083-1090","source":"DOI.org (Crossref)","title":"Regulation of Signaling Pathways Downstream of IGF-I/Insulin by Androgen in Skeletal Muscle of Glucocorticoid-Treated Rats:","title-short":"Regulation of Signaling Pathways Downstream of IGF-I/Insulin by Androgen in Skeletal Muscle of Glucocorticoid-Treated Rats","volume":"66","author":[{"family":"Yin","given":"Hui-Nan"},{"family":"Chai","given":"Jia-Ke"},{"family":"Yu","given":"Yong-Ming"},{"family":"Shen","given":"Chuan-An"},{"family":"Wu","given":"Yan-Qiu"},{"family":"Yao","given":"Yong-Ming"},{"family":"Liu","given":"Hui"},{"family":"Liang","given":"Li-Ming"},{"family":"Tompkins","given":"Ronald G."},{"family":"Sheng","given":"Zhi-Yong"}],"issued":{"date-parts":[["2009",4]]}}},{"id":687,"uris":["http://zotero.org/users/6281125/items/ARITWP2X"],"uri":["http://zotero.org/users/6281125/items/ARITWP2X"],"itemData":{"id":687,"type":"article-journal","container-title":"Endocrinology","DOI":"10.1210/en.2006-0539","ISSN":"0013-7227, 1945-7170","issue":"1","journalAbbreviation":"Endocrinology","language":"en","page":"452-460","source":"DOI.org (Crossref)","title":"Myostatin Gene Deletion Prevents Glucocorticoid-Induced Muscle Atrophy","volume":"148","author":[{"family":"Gilson","given":"H."},{"family":"Schakman","given":"O."},{"family":"Combaret","given":"L."},{"family":"Lause","given":"P."},{"family":"Grobet","given":"L."},{"family":"Attaix","given":"D."},{"family":"Ketelslegers","given":"J. M."},{"family":"Thissen","given":"J. P."}],"issued":{"date-parts":[["2007",1]]}}}],"schema":"https://github.com/citation-style-language/schema/raw/master/csl-citation.json"} </w:instrText>
      </w:r>
      <w:r w:rsidRPr="005C20A4">
        <w:fldChar w:fldCharType="separate"/>
      </w:r>
      <w:r w:rsidR="00DA7707" w:rsidRPr="00DA7707">
        <w:rPr>
          <w:vertAlign w:val="superscript"/>
        </w:rPr>
        <w:t>195,196</w:t>
      </w:r>
      <w:r w:rsidRPr="005C20A4">
        <w:fldChar w:fldCharType="end"/>
      </w:r>
      <w:r w:rsidRPr="005C20A4">
        <w:t xml:space="preserve"> and atrogin-1</w:t>
      </w:r>
      <w:r w:rsidRPr="005C20A4">
        <w:fldChar w:fldCharType="begin"/>
      </w:r>
      <w:r w:rsidR="00DA7707">
        <w:instrText xml:space="preserve"> ADDIN ZOTERO_ITEM CSL_CITATION {"citationID":"MLXry8rh","properties":{"formattedCitation":"\\super 195\\uc0\\u8211{}197\\nosupersub{}","plainCitation":"195–197","noteIndex":0},"citationItems":[{"id":687,"uris":["http://zotero.org/users/6281125/items/ARITWP2X"],"uri":["http://zotero.org/users/6281125/items/ARITWP2X"],"itemData":{"id":687,"type":"article-journal","container-title":"Endocrinology","DOI":"10.1210/en.2006-0539","ISSN":"0013-7227, 1945-7170","issue":"1","journalAbbreviation":"Endocrinology","language":"en","page":"452-460","source":"DOI.org (Crossref)","title":"Myostatin Gene Deletion Prevents Glucocorticoid-Induced Muscle Atrophy","volume":"148","author":[{"family":"Gilson","given":"H."},{"family":"Schakman","given":"O."},{"family":"Combaret","given":"L."},{"family":"Lause","given":"P."},{"family":"Grobet","given":"L."},{"family":"Attaix","given":"D."},{"family":"Ketelslegers","given":"J. M."},{"family":"Thissen","given":"J. P."}],"issued":{"date-parts":[["2007",1]]}}},{"id":1654,"uris":["http://zotero.org/users/6281125/items/XKP2SEFX"],"uri":["http://zotero.org/users/6281125/items/XKP2SEFX"],"itemData":{"id":1654,"type":"article-journal","container-title":"The Journal of Trauma: Injury, Infection, and Critical Care","DOI":"10.1097/TA.0b013e31817e7420","ISSN":"0022-5282","issue":"4","journalAbbreviation":"The Journal of Trauma: Injury, Infection, and Critical Care","language":"en","page":"1083-1090","source":"DOI.org (Crossref)","title":"Regulation of Signaling Pathways Downstream of IGF-I/Insulin by Androgen in Skeletal Muscle of Glucocorticoid-Treated Rats:","title-short":"Regulation of Signaling Pathways Downstream of IGF-I/Insulin by Androgen in Skeletal Muscle of Glucocorticoid-Treated Rats","volume":"66","author":[{"family":"Yin","given":"Hui-Nan"},{"family":"Chai","given":"Jia-Ke"},{"family":"Yu","given":"Yong-Ming"},{"family":"Shen","given":"Chuan-An"},{"family":"Wu","given":"Yan-Qiu"},{"family":"Yao","given":"Yong-Ming"},{"family":"Liu","given":"Hui"},{"family":"Liang","given":"Li-Ming"},{"family":"Tompkins","given":"Ronald G."},{"family":"Sheng","given":"Zhi-Yong"}],"issued":{"date-parts":[["2009",4]]}}},{"id":1645,"uris":["http://zotero.org/users/6281125/items/6WR7FR5U"],"uri":["http://zotero.org/users/6281125/items/6WR7FR5U"],"itemData":{"id":1645,"type":"article-journal","abstract":"We investigated the utility of branched-chain amino acids (BCAA) in dexamethasone-induced muscle atrophy. Dexamethasone (600 microg/kg, intraperitoneally) and/or BCAA (600 mg/kg, orally) were administered for 5 days in rats, and the effect of BCAA on dexamethasone-induced muscle atrophy was evaluated. Dexamethasone decreased total protein concentration of rat soleus muscles. Concomitant administration of BCAA reversed the decrease. Dexamethasone decreased mean cross-sectional area of soleus muscle fibers, which was reversed by BCAA. Dexamethasone increased atrogin-1 expression, which has been reported to play a pivotal role in muscle atrophy. The increased expression of atrogin-1 mRNA was significantly attenuated by BCAA. Furthermore, dexamethasone-induced conversion from microtubule-associated protein 1 light chain 3 (LC3)-I to LC3-II, which is an indicator of autophagy, was blocked by BCAA. These findings suggest that BCAA decreased protein breakdown to prevent muscle atrophy. BCAA administration appears to be useful for prevention of steroid myopathy.","container-title":"Muscle &amp; Nerve","DOI":"10.1002/mus.21621","ISSN":"1097-4598","issue":"6","journalAbbreviation":"Muscle Nerve","language":"eng","note":"PMID: 20169591","page":"819-827","source":"PubMed","title":"Branched-chain amino acids protect against dexamethasone-induced soleus muscle atrophy in rats","volume":"41","author":[{"family":"Yamamoto","given":"Daisuke"},{"family":"Maki","given":"Taiki"},{"family":"Herningtyas","given":"Elizabeth Henny"},{"family":"Ikeshita","given":"Nobuko"},{"family":"Shibahara","given":"Hiromi"},{"family":"Sugiyama","given":"Yuka"},{"family":"Nakanishi","given":"Shiho"},{"family":"Iida","given":"Keiji"},{"family":"Iguchi","given":"Genzo"},{"family":"Takahashi","given":"Yutaka"},{"family":"Kaji","given":"Hidesuke"},{"family":"Chihara","given":"Kazuo"},{"family":"Okimura","given":"Yasuhiko"}],"issued":{"date-parts":[["2010",6]]}}}],"schema":"https://github.com/citation-style-language/schema/raw/master/csl-citation.json"} </w:instrText>
      </w:r>
      <w:r w:rsidRPr="005C20A4">
        <w:fldChar w:fldCharType="separate"/>
      </w:r>
      <w:r w:rsidR="00DA7707" w:rsidRPr="00DA7707">
        <w:rPr>
          <w:vertAlign w:val="superscript"/>
        </w:rPr>
        <w:t>195–197</w:t>
      </w:r>
      <w:r w:rsidRPr="005C20A4">
        <w:fldChar w:fldCharType="end"/>
      </w:r>
      <w:r w:rsidRPr="005C20A4">
        <w:t xml:space="preserve"> gene expression and decreases in muscle fiber area measures in rats receiving dexamethasone </w:t>
      </w:r>
      <w:r w:rsidRPr="006E5062">
        <w:t>treatment.</w:t>
      </w:r>
      <w:r>
        <w:fldChar w:fldCharType="begin"/>
      </w:r>
      <w:r w:rsidR="00DA7707">
        <w:instrText xml:space="preserve"> ADDIN ZOTERO_ITEM CSL_CITATION {"citationID":"3e8a9fhb","properties":{"formattedCitation":"\\super 188,196,197\\nosupersub{}","plainCitation":"188,196,197","noteIndex":0},"citationItems":[{"id":836,"uris":["http://zotero.org/users/6281125/items/KVQWMSUS"],"uri":["http://zotero.org/users/6281125/items/KVQWMSUS"],"itemData":{"id":836,"type":"article-journal","abstract":"Massive doses of methylprednisolone (M) or triamcinolone (T) induced diaphragmatic type IIx/b atrophy, resulting in a leftward shift of the force–frequency curve in rats (1). To examine the role of insulin-like growth factors (IGFs) in these changes, IGF mRNA content was measured in costal diaphragm, gastrocnemius, and liver removed from 32 rats treated daily during 5 d either with saline  (control, C and pair-fed, PF), M, or T (80 mg/kg). Blood samples were taken to measure IGF-1 serum  levels. RNA levels were measured by Northern and dot-blots after hybridization with rat IGF-1 or IGF-2  cDNA probes labeled with  α -32P. Compared with C (845  ±  128 ng/ml), IGF-1 serum levels were significantly decreased in M (699  ±  90 ng/ml, p  &lt;  0.001 versus C) and PF animals (505  ±  33 ng/ml, p  &lt;   0.001 versus others) and even more so, in T-treated animals (273  ±  134 ng/ml, p  &lt;  0.001 versus others). Along the same lines, IGF-1 expression in the liver was depressed after corticosteroid treatment  and in PF, whereas IGF-2 mRNA content remained unchanged. Compared with C, the relative expression of IGF-1 mRNA in the diaphragm was depressed by 44% and 69% in the M and T groups, respectively (p  &lt;  0.0001 versus C), while it was unchanged in PF animals. In the gastrocnemius, IGF-1 expression was reduced after M and T ( − 51% and  − 59%, respectively, p  &lt;  0.0001 versus C) as well as  in PF animals ( − 40%, p  &lt;  0.001 versus C). For IGF-2, a similar pattern of expression was found in the  diaphragm and the gastrocnemius. Indeed, IGF-2 mRNA tended to decrease in corticosteroid-treated  rats (NS) whereas it was unchanged in PF rats. We conclude that decreased IGF expression after corticosteroid treatment was similar in diaphragm and gastrocnemius and may be responsible for the  diaphragmatic changes observed after steroid treatment.","container-title":"American Journal of Respiratory and Critical Care Medicine","DOI":"10.1164/ajrccm.159.1.9803021","ISSN":"1073-449X","issue":"1","journalAbbreviation":"Am J Respir Crit Care Med","note":"publisher: American Thoracic Society - AJRCCM","page":"283-289","source":"atsjournals.org (Atypon)","title":"Acute Treatment with Corticosteroids Decreases IGF-1 and IGF-2 Expression in the Rat Diaphragm and Gastrocnemius","volume":"159","author":[{"family":"Gayan-Ramirez","given":"Ghislaine"},{"family":"Vanderhoydonc","given":"Frank"},{"family":"Verhoeven","given":"Guido"},{"family":"Decramer","given":"Marc"}],"issued":{"date-parts":[["1999",1,1]]}}},{"id":1654,"uris":["http://zotero.org/users/6281125/items/XKP2SEFX"],"uri":["http://zotero.org/users/6281125/items/XKP2SEFX"],"itemData":{"id":1654,"type":"article-journal","container-title":"The Journal of Trauma: Injury, Infection, and Critical Care","DOI":"10.1097/TA.0b013e31817e7420","ISSN":"0022-5282","issue":"4","journalAbbreviation":"The Journal of Trauma: Injury, Infection, and Critical Care","language":"en","page":"1083-1090","source":"DOI.org (Crossref)","title":"Regulation of Signaling Pathways Downstream of IGF-I/Insulin by Androgen in Skeletal Muscle of Glucocorticoid-Treated Rats:","title-short":"Regulation of Signaling Pathways Downstream of IGF-I/Insulin by Androgen in Skeletal Muscle of Glucocorticoid-Treated Rats","volume":"66","author":[{"family":"Yin","given":"Hui-Nan"},{"family":"Chai","given":"Jia-Ke"},{"family":"Yu","given":"Yong-Ming"},{"family":"Shen","given":"Chuan-An"},{"family":"Wu","given":"Yan-Qiu"},{"family":"Yao","given":"Yong-Ming"},{"family":"Liu","given":"Hui"},{"family":"Liang","given":"Li-Ming"},{"family":"Tompkins","given":"Ronald G."},{"family":"Sheng","given":"Zhi-Yong"}],"issued":{"date-parts":[["2009",4]]}}},{"id":1645,"uris":["http://zotero.org/users/6281125/items/6WR7FR5U"],"uri":["http://zotero.org/users/6281125/items/6WR7FR5U"],"itemData":{"id":1645,"type":"article-journal","abstract":"We investigated the utility of branched-chain amino acids (BCAA) in dexamethasone-induced muscle atrophy. Dexamethasone (600 microg/kg, intraperitoneally) and/or BCAA (600 mg/kg, orally) were administered for 5 days in rats, and the effect of BCAA on dexamethasone-induced muscle atrophy was evaluated. Dexamethasone decreased total protein concentration of rat soleus muscles. Concomitant administration of BCAA reversed the decrease. Dexamethasone decreased mean cross-sectional area of soleus muscle fibers, which was reversed by BCAA. Dexa</w:instrText>
      </w:r>
      <w:r w:rsidR="00DA7707">
        <w:rPr>
          <w:lang w:eastAsia="ko-KR"/>
        </w:rPr>
        <w:instrText xml:space="preserve">methasone increased atrogin-1 expression, which has been reported to play a pivotal role in muscle atrophy. The increased expression of atrogin-1 mRNA was significantly attenuated by BCAA. Furthermore, dexamethasone-induced conversion from microtubule-associated protein 1 light chain 3 (LC3)-I to LC3-II, which is an indicator of autophagy, was blocked by BCAA. These findings suggest that BCAA decreased protein breakdown to prevent muscle atrophy. BCAA administration appears to be useful for prevention of steroid myopathy.","container-title":"Muscle &amp; Nerve","DOI":"10.1002/mus.21621","ISSN":"1097-4598","issue":"6","journalAbbreviation":"Muscle Nerve","language":"eng","note":"PMID: 20169591","page":"819-827","source":"PubMed","title":"Branched-chain amino acids protect against dexamethasone-induced soleus muscle atrophy in rats","volume":"41","author":[{"family":"Yamamoto","given":"Daisuke"},{"family":"Maki","given":"Taiki"},{"family":"Herningtyas","given":"Elizabeth Henny"},{"family":"Ikeshita","given":"Nobuko"},{"family":"Shibahara","given":"Hiromi"},{"family":"Sugiyama","given":"Yuka"},{"family":"Nakanishi","given":"Shiho"},{"family":"Iida","given":"Keiji"},{"family":"Iguchi","given":"Genzo"},{"family":"Takahashi","given":"Yutaka"},{"family":"Kaji","given":"Hidesuke"},{"family":"Chihara","given":"Kazuo"},{"family":"Okimura","given":"Yasuhiko"}],"issued":{"date-parts":[["2010",6]]}}}],"schema":"https://github.com/citation-style-language/schema/raw/master/csl-citation.json"} </w:instrText>
      </w:r>
      <w:r>
        <w:fldChar w:fldCharType="separate"/>
      </w:r>
      <w:r w:rsidR="00DA7707" w:rsidRPr="00DA7707">
        <w:rPr>
          <w:vertAlign w:val="superscript"/>
          <w:lang w:eastAsia="ko-KR"/>
        </w:rPr>
        <w:t>188,196,197</w:t>
      </w:r>
      <w:r>
        <w:fldChar w:fldCharType="end"/>
      </w:r>
    </w:p>
    <w:p w14:paraId="7405A205" w14:textId="77777777" w:rsidR="00BB4236" w:rsidRDefault="00BB4236" w:rsidP="009028DA">
      <w:pPr>
        <w:rPr>
          <w:lang w:eastAsia="ko-KR"/>
        </w:rPr>
      </w:pPr>
    </w:p>
    <w:p w14:paraId="540CEBCE" w14:textId="77777777" w:rsidR="00466649" w:rsidRDefault="00BB4236" w:rsidP="00466649">
      <w:pPr>
        <w:keepNext/>
        <w:ind w:firstLine="0"/>
        <w:jc w:val="center"/>
        <w:rPr>
          <w:lang w:eastAsia="ko-KR"/>
        </w:rPr>
      </w:pPr>
      <w:r>
        <w:rPr>
          <w:i/>
          <w:iCs/>
          <w:noProof/>
        </w:rPr>
        <w:drawing>
          <wp:inline distT="0" distB="0" distL="0" distR="0" wp14:anchorId="54E0D0B0" wp14:editId="5E732D62">
            <wp:extent cx="5715334" cy="3012821"/>
            <wp:effectExtent l="19050" t="19050" r="19050" b="16510"/>
            <wp:docPr id="25" name="Picture 2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agram&#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1842" cy="3021523"/>
                    </a:xfrm>
                    <a:prstGeom prst="rect">
                      <a:avLst/>
                    </a:prstGeom>
                    <a:noFill/>
                    <a:ln>
                      <a:solidFill>
                        <a:schemeClr val="tx1"/>
                      </a:solidFill>
                    </a:ln>
                  </pic:spPr>
                </pic:pic>
              </a:graphicData>
            </a:graphic>
          </wp:inline>
        </w:drawing>
      </w:r>
    </w:p>
    <w:p w14:paraId="297B1A40" w14:textId="007ACE2F" w:rsidR="009028DA" w:rsidRPr="009028DA" w:rsidRDefault="00466649" w:rsidP="00466649">
      <w:pPr>
        <w:pStyle w:val="Caption"/>
        <w:rPr>
          <w:lang w:eastAsia="ko-KR"/>
        </w:rPr>
      </w:pPr>
      <w:bookmarkStart w:id="53" w:name="_Toc88218605"/>
      <w:r>
        <w:rPr>
          <w:lang w:eastAsia="ko-KR"/>
        </w:rPr>
        <w:t xml:space="preserve">Figure </w:t>
      </w:r>
      <w:r>
        <w:fldChar w:fldCharType="begin"/>
      </w:r>
      <w:r>
        <w:rPr>
          <w:lang w:eastAsia="ko-KR"/>
        </w:rPr>
        <w:instrText xml:space="preserve"> SEQ Figure \* ARABIC </w:instrText>
      </w:r>
      <w:r>
        <w:fldChar w:fldCharType="separate"/>
      </w:r>
      <w:r w:rsidR="00CD04FC">
        <w:rPr>
          <w:lang w:eastAsia="ko-KR"/>
        </w:rPr>
        <w:t>12</w:t>
      </w:r>
      <w:r>
        <w:fldChar w:fldCharType="end"/>
      </w:r>
      <w:r w:rsidR="00D1486B">
        <w:rPr>
          <w:lang w:eastAsia="ko-KR"/>
        </w:rPr>
        <w:t xml:space="preserve">. </w:t>
      </w:r>
      <w:bookmarkStart w:id="54" w:name="_Hlk86057169"/>
      <w:r w:rsidR="00D1486B">
        <w:rPr>
          <w:lang w:eastAsia="ko-KR"/>
        </w:rPr>
        <w:t>Stimulatory effects of GCs on protein proteolysis and muscle degradation</w:t>
      </w:r>
      <w:bookmarkEnd w:id="53"/>
      <w:r w:rsidR="00D1486B">
        <w:rPr>
          <w:lang w:eastAsia="ko-KR"/>
        </w:rPr>
        <w:t xml:space="preserve"> </w:t>
      </w:r>
    </w:p>
    <w:p w14:paraId="39987105" w14:textId="37A3E9A2" w:rsidR="0097192D" w:rsidRDefault="006E7E4D" w:rsidP="0097192D">
      <w:pPr>
        <w:pStyle w:val="Heading2"/>
        <w:rPr>
          <w:lang w:eastAsia="ko-KR"/>
        </w:rPr>
      </w:pPr>
      <w:bookmarkStart w:id="55" w:name="_Toc88218526"/>
      <w:bookmarkEnd w:id="54"/>
      <w:r>
        <w:rPr>
          <w:lang w:eastAsia="ko-KR"/>
        </w:rPr>
        <w:t>Specific Aims</w:t>
      </w:r>
      <w:bookmarkEnd w:id="55"/>
      <w:r>
        <w:rPr>
          <w:lang w:eastAsia="ko-KR"/>
        </w:rPr>
        <w:t xml:space="preserve"> </w:t>
      </w:r>
    </w:p>
    <w:p w14:paraId="7FA14073" w14:textId="2EEAAA92" w:rsidR="002A48AB" w:rsidRPr="0043508C" w:rsidRDefault="002A48AB" w:rsidP="002A48AB">
      <w:pPr>
        <w:pStyle w:val="NormalWeb"/>
        <w:ind w:right="-14"/>
        <w:rPr>
          <w:b/>
          <w:lang w:eastAsia="ko-KR"/>
        </w:rPr>
      </w:pPr>
      <w:r w:rsidRPr="0043508C">
        <w:rPr>
          <w:color w:val="000000"/>
          <w:lang w:eastAsia="ko-KR"/>
        </w:rPr>
        <w:t xml:space="preserve">To better understand human VF physiology and explore treatments for voice disorders, various animal models have been used. </w:t>
      </w:r>
      <w:r w:rsidRPr="0043508C">
        <w:rPr>
          <w:lang w:eastAsia="ko-KR"/>
        </w:rPr>
        <w:t xml:space="preserve">Although no other animal shares the identical tissue layered structure of the </w:t>
      </w:r>
      <w:r w:rsidR="00415765">
        <w:rPr>
          <w:lang w:eastAsia="ko-KR"/>
        </w:rPr>
        <w:t>VFs</w:t>
      </w:r>
      <w:r w:rsidRPr="0043508C">
        <w:rPr>
          <w:lang w:eastAsia="ko-KR"/>
        </w:rPr>
        <w:t xml:space="preserve"> compared to humans,</w:t>
      </w:r>
      <w:r w:rsidRPr="0043508C">
        <w:rPr>
          <w:color w:val="000000"/>
          <w:lang w:eastAsia="ko-KR"/>
        </w:rPr>
        <w:t xml:space="preserve"> in the absence of fresh procurement of human donor larynges, </w:t>
      </w:r>
      <w:r w:rsidRPr="0043508C">
        <w:rPr>
          <w:lang w:eastAsia="ko-KR"/>
        </w:rPr>
        <w:t>animal models provide a reasonable approximation and opportunity for the study of conserved proteins between species on the regulation of VF homeostasis. Animal larynges are also generally more accessible than fresh human larynges and offer reasonable advantages in the control of extraneous environmental variables</w:t>
      </w:r>
      <w:r w:rsidR="00617E15">
        <w:rPr>
          <w:lang w:eastAsia="ko-KR"/>
        </w:rPr>
        <w:t>,</w:t>
      </w:r>
      <w:r w:rsidRPr="0043508C">
        <w:rPr>
          <w:lang w:eastAsia="ko-KR"/>
        </w:rPr>
        <w:t xml:space="preserve"> </w:t>
      </w:r>
      <w:r w:rsidR="00617E15">
        <w:rPr>
          <w:lang w:eastAsia="ko-KR"/>
        </w:rPr>
        <w:t>as well as better</w:t>
      </w:r>
      <w:r w:rsidR="00BD7E0E">
        <w:rPr>
          <w:lang w:eastAsia="ko-KR"/>
        </w:rPr>
        <w:t xml:space="preserve"> </w:t>
      </w:r>
      <w:r w:rsidRPr="0043508C">
        <w:rPr>
          <w:lang w:eastAsia="ko-KR"/>
        </w:rPr>
        <w:t xml:space="preserve">access to tissue primers and antibodies for routine molecular biological assays. </w:t>
      </w:r>
    </w:p>
    <w:p w14:paraId="68326D71" w14:textId="6929CA4B" w:rsidR="002A48AB" w:rsidRPr="0043508C" w:rsidRDefault="002A48AB" w:rsidP="002A48AB">
      <w:pPr>
        <w:pBdr>
          <w:top w:val="nil"/>
          <w:left w:val="nil"/>
          <w:bottom w:val="nil"/>
          <w:right w:val="nil"/>
          <w:between w:val="nil"/>
        </w:pBdr>
        <w:ind w:right="-14"/>
      </w:pPr>
      <w:r w:rsidRPr="0043508C">
        <w:rPr>
          <w:color w:val="000000"/>
          <w:lang w:eastAsia="ko-KR"/>
        </w:rPr>
        <w:t>Preference</w:t>
      </w:r>
      <w:r w:rsidRPr="0043508C">
        <w:rPr>
          <w:lang w:eastAsia="ko-KR"/>
        </w:rPr>
        <w:t xml:space="preserve"> for animal model</w:t>
      </w:r>
      <w:r w:rsidR="00BD7E0E">
        <w:rPr>
          <w:lang w:eastAsia="ko-KR"/>
        </w:rPr>
        <w:t>s</w:t>
      </w:r>
      <w:r w:rsidRPr="0043508C">
        <w:rPr>
          <w:lang w:eastAsia="ko-KR"/>
        </w:rPr>
        <w:t xml:space="preserve"> broadly depends on the specific research questions being addressed. For example, canine larynges are commonly used in excised larynx experiments due to similarities in laryngeal size and gross tissue structure compared to human larynges.</w:t>
      </w:r>
      <w:r w:rsidRPr="0043508C">
        <w:fldChar w:fldCharType="begin"/>
      </w:r>
      <w:r w:rsidR="00DA7707">
        <w:rPr>
          <w:lang w:eastAsia="ko-KR"/>
        </w:rPr>
        <w:instrText xml:space="preserve"> ADDIN ZOTERO_ITEM CSL_CITATION {"citationID":"MtTGgi55","properties":{"formattedCitation":"\\super 198\\nosupe</w:instrText>
      </w:r>
      <w:r w:rsidR="00DA7707">
        <w:instrText xml:space="preserve">rsub{}","plainCitation":"198","noteIndex":0},"citationItems":[{"id":653,"uris":["http://zotero.org/users/6281125/items/SABMX3AJ"],"uri":["http://zotero.org/users/6281125/items/SABMX3AJ"],"itemData":{"id":653,"type":"article-journal","abstract":"OBJECTIVES/HYPOTHESIS: To determine the most suitable animal model for experimental studies on vocal fold surgery and function by a histological comparison of the microflap surgical plane and laryngeal videostroboscopy (LVS) in different species of animals. A second goal was to determine how the layered vocal fold structure in humans and three different animal species affects surgical dissection within the lamina propria.$\\backslash$n$\\backslash$nSTUDY DESIGN: Prospective laboratory.$\\backslash$n$\\backslash$nMETHODS: Three larynges each from dogs, monkeys, and pigs were compared with three ex vivo human larynges. Microflap surgery was performed on one vocal fold from each larynx. Both the operated and nonoperated vocal folds were examined histologically using stains specific for elastin, mature collagen, and ground substance. Based on the histological results, LVS was performed on two dogs and two pigs after first performing a tracheotomy for ventilation and airflow through the glottis. Arytenoid adduction sutures were placed to facilitate vocal fold adduction.$\\backslash$n$\\backslash$nRESULTS: The distributions of the collagen and elastin fibers were found to differ among the species with concentrations varying within species. Unlike the human vocal fold, which has a higher elastin concentration in the deeper layers of the lamina propria, both the pig and the dog had a thin band of elastin concentrated just deep to the basement membrane zone in the superficial layer. Just deep to this thin band, the collagen and the elastin were less concentrated. The monkey vocal fold had a very thin mucosal layer with less elastin throughout the mucosa. The microflap dissections in each of the dog, pig, and human vocal folds were similar, being located within that portion of the superficial lamina propria where the elastin and mature collagen are less concentrated. The microflap plane in the monkey vocal fold was more deeply located near the vocalis fibers. Despite the differences in elastin concentration, the microflap plane in both the dog and the pig was found to be similar to that in humans. The dog anatomy was much more suitable for microsuspension laryngoscopy and stroboscopic examination. The dog vocal folds vibrated in a similar fashion to human vocal folds with mucosal waves and vertical phase differences, features not seen in the pig vocal folds.$\\backslash$n$\\backslash$nCONCLUSIONS: Based on both the histological and stroboscopic results, the dog was believed to be a more suitable animal model for studies on vocal fold surgery, acknowledging that no animal's laryngeal anatomy is identical to that of the human. The dog LVS model presented allows for longitudinal laryngeal studies requiring repeated examinations at multiple time periods with histological correlation applied at sacrifice.","container-title":"The Laryngoscope","DOI":"10.1097/00005537-200005000-00011","ISSN":"0023-852X","issue":"5","note":"PMID: 10807360","page":"814–824","title":"Comparative histology and vibration of the vocal folds: Implications for experimental studies in microlaryngeal surgery","volume":"110","author":[{"family":"Garrett","given":"C. Gaelyn"},{"family":"Coleman","given":"John R."},{"family":"Reinisch","given":"Lou"}],"issued":{"date-parts":[["2000"]]}}}],"schema":"https://github.com/citation-style-language/schema/raw/master/csl-citation.json"} </w:instrText>
      </w:r>
      <w:r w:rsidRPr="0043508C">
        <w:fldChar w:fldCharType="separate"/>
      </w:r>
      <w:r w:rsidR="00DA7707" w:rsidRPr="00DA7707">
        <w:rPr>
          <w:vertAlign w:val="superscript"/>
        </w:rPr>
        <w:t>198</w:t>
      </w:r>
      <w:r w:rsidRPr="0043508C">
        <w:fldChar w:fldCharType="end"/>
      </w:r>
      <w:r w:rsidRPr="0043508C">
        <w:t xml:space="preserve"> However, the use of canines in histological studies has relative disadvantages due to differences in layered structure and tissue biomechanical properties.</w:t>
      </w:r>
      <w:r w:rsidRPr="0043508C">
        <w:fldChar w:fldCharType="begin"/>
      </w:r>
      <w:r w:rsidR="00DA7707">
        <w:instrText xml:space="preserve"> ADDIN ZOTERO_ITEM CSL_CITATION {"citationID":"OeOMXvmO","properties":{"formattedCitation":"\\super 199\\nosupersub{}","plainCitation":"199","noteIndex":0},"citationItems":[{"id":26,"uris":["http://zotero.org/users/6281125/items/PVDPHD25"],"uri":["http://zotero.org/users/6281125/items/PVDPHD25"],"itemData":{"id":26,"type":"article-journal","abstract":"Objective: To modify the excised larynx bench apparatus to accommodate experiments with rabbit larynges. Study Design: Methodological study using ex vivo rabbit larynges. Methods: Rabbit larynges (n = 5) were dissected and mounted on a custom-made phonatory apparatus. The arytenoids were adducted by rods, and humidified air was passed through the larynx to elicit vocal fold vibration. Acoustic, aerodynamic, electroglottographic (EGG), and videokymographic data were collected for each larynx. The same data were collected for five canine larynges for the purpose of comparison, and coefficients of variation were calculated for each parameter in both models. Results: Reliable phonation was achieved in each larynx. Acoustic fundamental frequency (F 0 ), percent jitter, percent shimmer, signal-to-noise ratio, pressure and flow at phonation onset and offset; and F 0 , closed quotient, speed quotient, jitter, shimmer, and contact quotient, as recorded by EGG; and mucosal wave amplitude and phase difference are reported for rabbit larynges. Coefficients of variation for each parameter are similar in magnitude between the two models. Conclusion: We developed a method for recording reliable acoustic, aerodynamic, videokymographic, and EGG data from rabbit larynges. When data obtained from leporine larynges were compared with data from canine larynges, the intralarynx variability of rabbit larynges was found to be similar to that of canine larynges. © 2013 The Voice Foundation.","container-title":"Journal of Voice","DOI":"10.1016/j.jvoice.2012.08.004","ISSN":"08921997","issue":"1","page":"24-28","title":"Use of the rabbit larynx in an excised larynx setup","volume":"27","author":[{"family":"Maytag","given":"Allison L."},{"family":"Robitaille","given":"Mark J."},{"family":"Rieves","given":"Adam L."},{"family":"Madsen","given":"James"},{"family":"Smith","given":"Benjamin L."},{"family":"Jiang","given":"Jack J."}],"issued":{"date-parts":[["2013"]]}}}],"schema":"https://github.com/citation-style-language/schema/raw/master/csl-citation.json"} </w:instrText>
      </w:r>
      <w:r w:rsidRPr="0043508C">
        <w:fldChar w:fldCharType="separate"/>
      </w:r>
      <w:r w:rsidR="00DA7707" w:rsidRPr="00DA7707">
        <w:rPr>
          <w:vertAlign w:val="superscript"/>
        </w:rPr>
        <w:t>199</w:t>
      </w:r>
      <w:r w:rsidRPr="0043508C">
        <w:fldChar w:fldCharType="end"/>
      </w:r>
      <w:r w:rsidRPr="0043508C">
        <w:t xml:space="preserve"> Other comparably sized animal models, such as porcine, offer relative advantages to canine models due to similarities in collagen and elastin distribution with human </w:t>
      </w:r>
      <w:r w:rsidR="00415765">
        <w:t>VFs</w:t>
      </w:r>
      <w:r w:rsidRPr="0043508C">
        <w:t>.</w:t>
      </w:r>
      <w:r w:rsidRPr="0043508C">
        <w:fldChar w:fldCharType="begin"/>
      </w:r>
      <w:r w:rsidR="00DA7707">
        <w:instrText xml:space="preserve"> ADDIN ZOTERO_ITEM CSL_CITATION {"citationID":"95GBzw9f","properties":{"formattedCitation":"\\super 198,200,201\\nosupersub{}","plainCitation":"198,200,201","noteIndex":0},"citationItems":[{"id":653,"uris":["http://zotero.org/users/6281125/items/SABMX3AJ"],"uri":["http://zotero.org/users/6281125/items/SABMX3AJ"],"itemData":{"id":653,"type":"article-journal","abstract":"OBJECTIVES/HYPOTHESIS: To determine the most suitable animal model for experimental studies on vocal fold surgery and function by a histological comparison of the microflap surgical plane and laryngeal videostroboscopy (LVS) in different species of animals. A second goal was to determine how the layered vocal fold structure in humans and three different animal species affects surgical dissection within the lamina propria.$\\backslash$n$\\backslash$nSTUDY DESIGN: Prospective laboratory.$\\backslash$n$\\backslash$nMETHODS: Three larynges each from dogs, monkeys, and pigs were compared with three ex vivo human larynges. Microflap surgery was performed on one vocal fold from each larynx. Both the operated and nonoperated vocal folds were examined histologically using stains specific for elastin, mature collagen, and ground substance. Based on the histological results, LVS was performed on two dogs and two pigs after first performing a tracheotomy for ventilation and airflow through the glottis. Arytenoid adduction sutures were placed to facilitate vocal fold adduction.$\\backslash$n$\\backslash$nRESULTS: The distributions of the collagen and elastin fibers were found to differ among the species with concentrations varying within species. Unlike the human vocal fold, which has a higher elastin concentration in the deeper layers of the lamina propria, both the pig and the dog had a thin band of elastin concentrated just deep to the basement membrane zone in the superficial layer. Just deep to this thin band, the collagen and the elastin were less concentrated. The monkey vocal fold had a very thin mucosal layer with less elastin throughout the mucosa. The microflap dissections in each of the dog, pig, and human vocal folds were similar, being located within that portion of the superficial lamina propria where the elastin and mature collagen are less concentrated. The microflap plane in the monkey vocal fold was more deeply located near the vocalis fibers. Despite the differences in elastin concentration, the microflap plane in both the dog and the pig was found to be similar to that in humans. The dog anatomy was much more suitable for microsuspension laryngoscopy and stroboscopic examination. The dog vocal folds vibrated in a similar fashion to human vocal folds with mucosal waves and vertical phase differences, features not seen in the pig vocal folds.$\\backslash$n$\\backslash$nCONCLUSIONS: Based on both the histological and stroboscopic results, the dog was believed to be a more suitable animal model for studies on vocal fold surgery, acknowledging that no animal's laryngeal anatomy is identical to that of the human. The dog LVS model presented allows for longitudinal laryngeal studies requiring repeated examinations at multiple time periods with histological correlation applied at sacrifice.","container-title":"The Laryngoscope","DOI":"10.1097/00005537-200005000-00011","ISSN":"0023-852X","issue":"5","note":"PMID: 10807360","page":"814–824","title":"Comparative histology and vibration of the vocal folds: Implications for experimental studies in microlaryngeal surgery","volume":"110","author":[{"family":"Garrett","given":"C. Gaelyn"},{"family":"Coleman","given":"John R."},{"family":"Reinisch","given":"Lou"}],"issued":{"date-parts":[["2000"]]}}},{"id":647,"uris":["http://zotero.org/users/6281125/items/LQNSN9MM"],"uri":["http://zotero.org/users/6281125/items/LQNSN9MM"],"itemData":{"id":647,"type":"article-journal","abstract":"Elastic characteristics of the pig, sheep, and cow vocal folds were investigated through a series of in vitro experiments. Sample strips of the vocal-fold tissue were dissected from pig, sheep, and cow vocal folds and mounted inside a saline-filled ergometer chamber that was maintained at 37°C ± 1°C. Sinusoidal elongation was applied on the samples to obtain the passive force measurements. Force and elongation data from the samples were recorded electronically with a dual-servo system (ergometer). Stress-Strain data were compared to characterize the interspecies differences in the elastic properties of vocal folds. Pig vocal folds exhibited the most nonlinear stress-strain relationship, indicating the presence of a high level of collagen fibers. Cow vocal folds had the highest Young's modulus, but the tissue displayed a nearly linear stress-strain profile. Previous studies of phonation in these three species have indicated that pig larynges have the highest range of phonation frequencies, making them a good candidate for animal studies. The current study provides quantitative data for the elastic properties of the oscillating laryngeal tissue in these species and indicates that nonlinear behavior of these tissues may lead to wider oscillation ranges. © 2011 The Voice Foundation.","container-title":"Journal of Voice","DOI":"10.1016/j.jvoice.2009.09.002","ISSN":"08921997","issue":"2","note":"PMID: 20137893","page":"130–136","title":"Vocal fold elasticity in the pig, sheep, and cow larynges","volume":"25","author":[{"family":"Alipour","given":"Fariborz"},{"family":"Jaiswal","given":"Sanyukta"},{"family":"Vigmostad","given":"Sarah"}],"issued":{"date-parts":[["2011"]]}}},{"id":1868,"uris":["http://zotero.org/users/6281125/items/BYVUVEBW"],"uri":["http://zotero.org/users/6281125/items/BYVUVEBW"],"itemData":{"id":1868,"type":"article-journal","container-title":"Annals of Otology, Rhinology &amp; Laryngology","DOI":"10.1177/000348940111001207","ISSN":"0003-4894, 1943-572X","issue":"12","journalAbbreviation":"Ann Otol Rhinol Laryngol","language":"en","page":"1120-1125","source":"DOI.org (Crossref)","title":"Comparison of the phonation-related structures among pig, dog, white-tailed deer, and human larynges","volume":"110","author":[{"family":"Jiang","given":"Jack J."},{"family":"Raviv","given":"Joseph R."},{"family":"Hanson","given":"David G."}],"issued":{"date-parts":[["2001",12]]}}}],"schema":"https://github.com/citation-style-language/schema/raw/master/csl-citation.json"} </w:instrText>
      </w:r>
      <w:r w:rsidRPr="0043508C">
        <w:fldChar w:fldCharType="separate"/>
      </w:r>
      <w:r w:rsidR="00DA7707" w:rsidRPr="00DA7707">
        <w:rPr>
          <w:vertAlign w:val="superscript"/>
        </w:rPr>
        <w:t>198,200,201</w:t>
      </w:r>
      <w:r w:rsidRPr="0043508C">
        <w:fldChar w:fldCharType="end"/>
      </w:r>
      <w:r w:rsidRPr="0043508C">
        <w:t xml:space="preserve"> However, porcine </w:t>
      </w:r>
      <w:r w:rsidR="00F65732">
        <w:t>VF tissue</w:t>
      </w:r>
      <w:r w:rsidRPr="0043508C">
        <w:t xml:space="preserve"> </w:t>
      </w:r>
      <w:r w:rsidR="00F65732">
        <w:t>is</w:t>
      </w:r>
      <w:r w:rsidRPr="0043508C">
        <w:t xml:space="preserve"> not as well characterized as rabbit, mouse, and rat </w:t>
      </w:r>
      <w:r w:rsidR="00F65732">
        <w:t>VFs</w:t>
      </w:r>
      <w:r w:rsidRPr="0043508C">
        <w:t>, and pigs can be inherently more challenging to work with within the experimental setting. Smaller animal</w:t>
      </w:r>
      <w:r w:rsidR="004C425E">
        <w:t xml:space="preserve"> models </w:t>
      </w:r>
      <w:r w:rsidRPr="0043508C">
        <w:t>such as rabbit</w:t>
      </w:r>
      <w:r w:rsidR="004C425E">
        <w:t>s</w:t>
      </w:r>
      <w:r w:rsidRPr="0043508C">
        <w:t>, m</w:t>
      </w:r>
      <w:r w:rsidR="004C425E">
        <w:t>ice</w:t>
      </w:r>
      <w:r w:rsidRPr="0043508C">
        <w:t>, and rat</w:t>
      </w:r>
      <w:r w:rsidR="004C425E">
        <w:t xml:space="preserve">s </w:t>
      </w:r>
      <w:r w:rsidRPr="0043508C">
        <w:t xml:space="preserve">have been widely used due to their ease of procurement and handling. </w:t>
      </w:r>
    </w:p>
    <w:p w14:paraId="719D7704" w14:textId="508515F8" w:rsidR="002A48AB" w:rsidRPr="0043508C" w:rsidRDefault="002A48AB" w:rsidP="002A48AB">
      <w:pPr>
        <w:pBdr>
          <w:top w:val="nil"/>
          <w:left w:val="nil"/>
          <w:bottom w:val="nil"/>
          <w:right w:val="nil"/>
          <w:between w:val="nil"/>
        </w:pBdr>
        <w:ind w:right="-14"/>
      </w:pPr>
      <w:r w:rsidRPr="0043508C">
        <w:t>Due to the relative advantages of smaller species, there has been a growing body of work using the rabbit as a small animal solution for studies of VF tissue biology. Our lab has developed an</w:t>
      </w:r>
      <w:r w:rsidRPr="0043508C">
        <w:rPr>
          <w:i/>
        </w:rPr>
        <w:t xml:space="preserve"> in-vivo</w:t>
      </w:r>
      <w:r w:rsidRPr="0043508C">
        <w:t xml:space="preserve"> rabbit model</w:t>
      </w:r>
      <w:r w:rsidRPr="0043508C">
        <w:rPr>
          <w:vertAlign w:val="superscript"/>
        </w:rPr>
        <w:fldChar w:fldCharType="begin"/>
      </w:r>
      <w:r w:rsidR="00DA7707">
        <w:rPr>
          <w:vertAlign w:val="superscript"/>
        </w:rPr>
        <w:instrText xml:space="preserve"> ADDIN ZOTERO_ITEM CSL_CITATION {"citationID":"KSqZ7cDT","properties":{"formattedCitation":"\\super 33,202\\uc0\\u8211{}205\\nosupersub{}","plainCitation":"33,202–205","noteIndex":0},"citationItems":[{"id":25,"uris":["http://zotero.org/users/6281125/items/32ZATPHZ"],"uri":["http://zotero.org/users/6281125/items/32ZATPHZ"],"itemData":{"id":25,"type":"article-journal","abstract":"Objectives: We describe a method for eliciting phonation in an in vivo rabbit preparation using low-frequency, bipolar pulsed stimulation of the cricothyroid muscles with airflow delivered to the glottis. Methods: Ten New Zealand White breeder rabbits weighing 3 to 5 kg were used in this study. The cricothyroid muscles were isolated bilaterally, and separate pairs of anode-cathode hooked-wire electrodes were inserted into each muscle. A Grass S-88 stimulator and 2 constant-current PSIU6 isolation units were used to deliver bipolar square wave pulses to each cricothyroid muscle, with airflow delivered to the glottis through a cuffed endotracheal tube. Results: Phonation was evoked with a 50-Hz, 4-mA stimulus train of 1-ms pulses delivered to each cricothyroid muscle. The pulse trains were on for 2 seconds and were repeated every 5 seconds over a period of 180 minutes. Airflow was delivered at 143 cm3/s, producing phonation measuring 71 to 85 dB sound pressure level. Conclusions: Evoked phonation is feasible in rabbits by use of bipolar stimulation of the cricothyroid muscles with airflow delivered to the glottis. The in vivo rabbit preparation described may provide a useful small animal option for studies of evoked phonation. From the level and consistency of the adduction observed, we hypothesize that current spreading to the underlying adductor muscles and nerves resulted in neural pathway involvement beyond discrete activation of the cricothyroid muscle, providing sufficient approximation of the vocal folds for phonation. © 2009 Annals Publishing Company. All rights reserved.","container-title":"Annals of Otology, Rhinology and Laryngology","DOI":"10.1177/000348940911800109","ISSN":"00034894","issue":"1","note":"PMID: 19244964","page":"51-55","title":"Model of evoked rabbit phonation","volume":"118","author":[{"family":"Ge","given":"Ping Jiang"},{"family":"French","given":"Lesley C."},{"family":"Ohno","given":"Tsunehisa"},{"family":"Zealear","given":"David L."},{"family":"Rousseau","given":"Bernard"}],"issued":{"date-parts":[["2009"]]}}},{"id":641,"uris":["http://zotero.org/users/6281125/items/PFCSNECZ"],"uri":["http://zotero.org/users/6281125/items/PFCSNECZ"],"itemData":{"id":641,"type":"article-journal","container-title":"The Laryngoscope","DOI":"10.1002/lary.20532","ISSN":"0023852X","issue":"7","page":"1439–1443","title":"Characterization of raised phonation in an evoked rabbit phonation model","volume":"119","author":[{"family":"Swanson","given":"Erik R."},{"family":"Abdollahian","given":"Davood"},{"family":"Ohno","given":"Tsunehisa"},{"family":"Ge","given":"Pingjiang"},{"family":"Zealear","given":"David L."},{"family":"Rousseau","given":"Bernard"}],"issued":{"date-parts":[["2009",7]]}}},{"id":202,"uris":["http://zotero.org/users/6281125/items/VSZPLLGE"],"uri":["http://zotero.org/users/6281125/items/VSZPLLGE"],"itemData":{"id":202,"type":"article-journal","abstract":"OBJECTIVE: To investigate the hypothesis that a transient episode of raised-intensity phonation causes a significant increase in vocal fold inflammatory messenger RNA (mRNA) expression in vivo.STUD...","container-title":"Otolaryngology–Head and Neck Surgery","DOI":"10.1016/j.otohns.2010.04.264","ISSN":"0194-5998","issue":"4","page":"567–572","title":"Effects of raised-intensity phonation on inflammatory mediator gene expression in normal rabbit vocal fold","volume":"143","author":[{"family":"Swanson","given":"Erik R."},{"family":"Ohno","given":"Tsunehisa"},{"family":"Abdollahian","given":"Dave"},{"family":"Rousseau","given":"Bernard"}],"issued":{"date-parts":[["2010",10]]}}},{"id":584,"uris":["http://zotero.org/users/6281125/items/N97BWRHD"],"uri":["http://zotero.org/users/6281125/items/N97BWRHD"],"itemData":{"id":584,"type":"article-journal","abstract":"The disruption of intercellular junctions in the larynx is a pathological feature of laryngopharyngeal reflux (LPR). Good experimental models are necessary to gain greater insight into the molecular mechanisms and alterations that result from abnormal exposure of the laryngeal epithelium to acid refluxate.","container-title":"Journal of Clinical Pathology","DOI":"10.1136/jcp.2004.016972","ISSN":"00219746","issue":"12","note":"PMID: 16311345","page":"1265–1270","title":"Characterisation of adherens and tight junctional molecules in normal animal larynx; determining a suitable model for studying molecular abnormalities in human laryngopharyngeal reflux","volume":"58","author":[{"family":"Gill","given":"G. A."},{"family":"Buda","given":"A."},{"family":"Moorghen","given":"M."},{"family":"Dettmar","given":"P. W."},{"family":"Pignatelli","given":"M."}],"issued":{"date-parts":[["2005"]]}}},{"id":412,"uris":["http://zotero.org/users/6281125/items/H2FHPGGH"],"uri":["http://zotero.org/users/6281125/items/H2FHPGGH"],"itemData":{"id":412,"type":"article-journal","abstract":"Clinical voice disorders pose significant communication-related challenges to patients. The purpose of this study was to quantify the rate of apoptosis and tumor necrosis factor‐alpha (TNF‐α) signaling in vocal fold epithelial cells in response to increasing time‐doses and cycle‐doses of vibration. 20 New Zealand white breeder rabbits were randomized to three groups of time‐doses of vibration exposure (30, 60, 120 min) or a control group (120 min of vocal fold adduction and abduction). Estimated cycle-doses of vocal fold vibration were extrapolated based on mean fundamental frequency. Laryngeal tissue specimens were evaluated for apoptosis and gene transcript and protein levels of TNF-α. Results revealed that terminal deoxynucleotidyl transferase dUTP nick end labeling (TUNEL) staining was significantly higher after 120 min of vibration compared to the control. Transmission electron microscopy (TEM) revealed no significant effect of time‐dose on the mean area of epithelial cell nuclei. Extrapolated cycle‐doses of vibration exposure were closely related to experimental time‐dose conditions, although no significant correlations were observed with TUNEL staining or mean area of epithelial cell nuclei. TUNEL staining was positively correlated with TNF-α protein expression. Our findings suggest that apoptosis can be induced in the vocal fold epithelium after 120 min of modal intensity phonation. In contrast, shorter durations of vibration exposure do not result in apoptosis signaling. However, morphological features of apoptosis are not observed using TEM. Future studies are necessary to examine the contribution of abnormal apoptosis to vocal fold diseases.","container-title":"Tissue and Cell","DOI":"10.1016/j.tice.2016.08.007","ISSN":"15323072","issue":"5","page":"407-416","title":"Acute exposure to vibration is an apoptosis‐inducing stimulus in the vocal fold epithelium","volume":"48","author":[{"family":"Novaleski","given":"Carolyn K."},{"family":"Kimball","given":"Emily E."},{"family":"Mizuta","given":"Masanobu"},{"family":"Rousseau","given":"Bernard"}],"issued":{"date-parts":[["2016"]]}}}],"schema":"https://github.com/citation-style-language/schema/raw/master/csl-citation.json"} </w:instrText>
      </w:r>
      <w:r w:rsidRPr="0043508C">
        <w:rPr>
          <w:vertAlign w:val="superscript"/>
        </w:rPr>
        <w:fldChar w:fldCharType="separate"/>
      </w:r>
      <w:r w:rsidR="00DA7707" w:rsidRPr="00DA7707">
        <w:rPr>
          <w:vertAlign w:val="superscript"/>
        </w:rPr>
        <w:t>33,202–205</w:t>
      </w:r>
      <w:r w:rsidRPr="0043508C">
        <w:rPr>
          <w:vertAlign w:val="superscript"/>
        </w:rPr>
        <w:fldChar w:fldCharType="end"/>
      </w:r>
      <w:r w:rsidRPr="0043508C">
        <w:t xml:space="preserve"> to investigate the biological characteristics of VF tissue. Rabbits demonstrate similarities to humans relative to VF tissue microarchitectural properties and </w:t>
      </w:r>
      <w:r w:rsidR="00DB2071">
        <w:t>ECM</w:t>
      </w:r>
      <w:r w:rsidRPr="0043508C">
        <w:t xml:space="preserve"> components.</w:t>
      </w:r>
      <w:r w:rsidRPr="0043508C">
        <w:fldChar w:fldCharType="begin"/>
      </w:r>
      <w:r w:rsidR="00DA7707">
        <w:instrText xml:space="preserve"> ADDIN ZOTERO_ITEM CSL_CITATION {"citationID":"ERriwMxS","properties":{"formattedCitation":"\\super 99,206,207\\nosupersub{}","plainCitation":"99,206,207","noteIndex":0},"citationItems":[{"id":548,"uris":["http://zotero.org/users/6281125/items/LJFF76UE"],"uri":["http://zotero.org/users/6281125/items/LJFF76UE"],"itemData":{"id":548,"type":"article-journal","abstract":"Scarring of the vocal fold causes considerable dysphonia and presents significant treatment challenges. A rabbit model was developed to investigate the histologic ultrastructure and rheologic properties of the scarred vocal fold lamina propria. Eleven rabbit larynges were scarred by means of forcep biopsy. Sixty days postoperatively, the rabbits were sacrificed and their vocal folds were harvested. Histological analysis of the scarred and normal lamina propria was completed for collagen, procollagen, elastin, and hyaluronic acid. Linear viscoelastic shear properties of the tissues were also measured, including elastic shear modulus and dynamic viscosity. Compared to normal vocal fold lamina propria, scarred tissues demonstrated significantly less collagen, an increase in procollagen, and a decrease in elastin. Rheologically, both elastic shear modulus and dynamic viscosity were significantly higher for the scarred tissues. Increased stiffness and viscosity do not appear to result from an increase in collagen, but rather appear to be related to the presence of new, disorganized collagen scaffolding. Results are interpreted in terms of the possible role of interstitial proteins in the etiology of increased stiffness and viscosity, which requires further investigation. This animal model should allow for systematic future investigations of vocal fold scarring and its treatment.","container-title":"Journal of Voice","DOI":"10.1016/S0892-1997(02)00078-4","ISSN":"08921997","issue":"1","note":"PMID: 12002893","page":"96–104","title":"Histologic and rheologic characterization of vocal fold scarring","volume":"16","author":[{"family":"Thibeault","given":"Susan L."},{"family":"Gray","given":"Steven D."},{"family":"Bless","given":"Diane M."},{"family":"Chan","given":"Roger W."},{"family":"Ford","given":"Charles N."}],"issued":{"date-parts":[["2002"]]}}},{"id":2057,"uris":["http://zotero.org/users/6281125/items/KQCU66TI"],"uri":["http://zotero.org/users/6281125/items/KQCU66TI"],"itemData":{"id":2057,"type":"article-journal","container-title":"Jibi To Rinsho Kai","issue":"4","note":"publisher: College-Hill Press","page":"3–21","source":"Google Scholar","title":"A comparative study of the layer structure of the vocal fold","volume":"28","author":[{"family":"Kurita","given":"S."}],"issued":{"date-parts":[["1981"]]}}},{"id":238,"uris":["http://zotero.org/users/6281125/items/KK8D72RM"],"uri":["http://zotero.org/users/6281125/items/KK8D72RM"],"itemData":{"id":238,"type":"report","abstract":"This article discusses the molecular composition of the vocal fold and the relationship of fibrous molecules to the biomechanical and physiological performance of the tissue. The components of the extracellular matrix may be divided into fibrous proteins and interstitial proteins. The fibrous proteins, consisting of collagens and elastins, are the focus of this report. Elastin concentration varies by tissue depth in the vocal folds. Variation of elastin by age is reported, but some controversy exists. The biomechanical terms of stress and strain (and stress-strain curves of human vocal folds) are related to the fibrous proteins of the vocal folds. The fibrous proteins, their role in stress, and their effect on the dynamic range of vocal pitch are presented. The lamina propria (LP) of the vocal fold has received considerable attention from laryngologists over the last 2 decades. Although some interest in this tissue was present before that time, it was Hi-rano's histologie work, coupled with the introduction of the cover-body theory of phonation, that propelled a basic understanding of the LP to the laryn-gologiste\"\" 3 His work was unique, in that his research group not only identified histologie differences in various regions of the LP, but also related those findings to vocal fold physiology with clinical implications. Hirano 1,2 found that the LP of the vocal fold is made up of 3 layers. The most superficial layer of the LP (SLLP) was characterized histologically by loose tissue with few collagen or elastin fibers. The middle or intermediate layer of the LP (MLLP) was found to have an increased number of elastin fibers, and the deep layer of the LP (DLLP) had an increased number of collagen fibers (Fig l 4). The more superficial tissue was termed the cover, and the deeper tissue was called the body. 3 The notion of a cover and body fit well with studies of vocal fold vibration showing not only medial-to-lateral motion of tissue, but also vertical motion of tissue. 2 · 5 The physiological concept of the theory is that the more medial and superficial tissue slides, glides, and moves over a more rigid body of tissue. Specifically, a wave of \"mucosal upheaval,\" which starts in the immediate infrafold area and then travels superiorly, had been identified on high-speed cine-matography. 6 \" 9 This is referred to as the mucosal wave. It was recognized that for the superficial tissue , freedom of movement in all directions was critical. The cover-body theory of phonation met that criterion , and the studies of the LP provided histologie evidence that the superficial tissues allowed freedom of movement, while the deeper tissues were more tightly integrated or bound. The cover of the vocal fold included the epithe-lium and the SLLP, while the DLLP and vocalis muscle were assigned to the body. The MLLP was appropriately characterized as a transitional layer. Since the amount of tissue in vibration depends on inten-BASEMENT MEMBRANE-·-' Fig 1. Tissue of vocal fold and its division into layers based on anatomic, functional, or biomechanical differences. (Reprinted with permission. 4)","title":"BIOMECHANICAL AND HISTOLOGIC OBSERVATIONS OF VOCAL FOLD FIBROUS PROTEINS","URL":"https://journals.sagepub.com/doi/pdf/10.1177/000348940010900115","author":[{"family":"Gray","given":"Steven D"},{"family":"Hammond","given":"Thomas Hale"}],"issued":{"date-parts":[["2000"]]}}}],"schema":"https://github.com/citation-style-language/schema/raw/master/csl-citation.json"} </w:instrText>
      </w:r>
      <w:r w:rsidRPr="0043508C">
        <w:fldChar w:fldCharType="separate"/>
      </w:r>
      <w:r w:rsidR="00DA7707" w:rsidRPr="00DA7707">
        <w:rPr>
          <w:vertAlign w:val="superscript"/>
        </w:rPr>
        <w:t>99,206,207</w:t>
      </w:r>
      <w:r w:rsidRPr="0043508C">
        <w:fldChar w:fldCharType="end"/>
      </w:r>
      <w:r w:rsidRPr="0043508C">
        <w:t xml:space="preserve"> The rabbit is an innately quiet animal, allowing for increased control over unsolicited vocalizations outside of the research setting.</w:t>
      </w:r>
      <w:r w:rsidRPr="0043508C">
        <w:fldChar w:fldCharType="begin"/>
      </w:r>
      <w:r w:rsidR="00DA7707">
        <w:instrText xml:space="preserve"> ADDIN ZOTERO_ITEM CSL_CITATION {"citationID":"I8rj1YUN","properties":{"formattedCitation":"\\super 202\\nosupersub{}","plainCitation":"202","noteIndex":0},"citationItems":[{"id":25,"uris":["http://zotero.org/users/6281125/items/32ZATPHZ"],"uri":["http://zotero.org/users/6281125/items/32ZATPHZ"],"itemData":{"id":25,"type":"article-journal","abstract":"Objectives: We describe a method for eliciting phonation in an in vivo rabbit preparation using low-frequency, bipolar pulsed stimulation of the cricothyroid muscles with airflow delivered to the glottis. Methods: Ten New Zealand White breeder rabbits weighing 3 to 5 kg were used in this study. The cricothyroid muscles were isolated bilaterally, and separate pairs of anode-cathode hooked-wire electrodes were inserted into each muscle. A Grass S-88 stimulator and 2 constant-current PSIU6 isolation units were used to deliver bipolar square wave pulses to each cricothyroid muscle, with airflow delivered to the glottis through a cuffed endotracheal tube. Results: Phonation was evoked with a 50-Hz, 4-mA stimulus train of 1-ms pulses delivered to each cricothyroid muscle. The pulse trains were on for 2 seconds and were repeated every 5 seconds over a period of 180 minutes. Airflow was delivered at 143 cm3/s, producing phonation measuring 71 to 85 dB sound pressure level. Conclusions: Evoked phonation is feasible in rabbits by use of bipolar stimulation of the cricothyroid muscles with airflow delivered to the glottis. The in vivo rabbit preparation described may provide a useful small animal option for studies of evoked phonation. From the level and consistency of the adduction observed, we hypothesize that current spreading to the underlying adductor muscles and nerves resulted in neural pathway involvement beyond discrete activation of the cricothyroid muscle, providing sufficient approximation of the vocal folds for phonation. © 2009 Annals Publishing Company. All rights reserved.","container-title":"Annals of Otology, Rhinology and Laryngology","DOI":"10.1177/000348940911800109","ISSN":"00034894","issue":"1","note":"PMID: 19244964","page":"51-55","title":"Model of evoked rabbit phonation","volume":"118","author":[{"family":"Ge","given":"Ping Jiang"},{"family":"French","given":"Lesley C."},{"family":"Ohno","given":"Tsunehisa"},{"family":"Zealear","given":"David L."},{"family":"Rousseau","given":"Bernard"}],"issued":{"date-parts":[["2009"]]}}}],"schema":"https://github.com/citation-style-language/schema/raw/master/csl-citation.json"} </w:instrText>
      </w:r>
      <w:r w:rsidRPr="0043508C">
        <w:fldChar w:fldCharType="separate"/>
      </w:r>
      <w:r w:rsidR="00DA7707" w:rsidRPr="00DA7707">
        <w:rPr>
          <w:vertAlign w:val="superscript"/>
        </w:rPr>
        <w:t>202</w:t>
      </w:r>
      <w:r w:rsidRPr="0043508C">
        <w:fldChar w:fldCharType="end"/>
      </w:r>
      <w:r w:rsidRPr="0043508C">
        <w:t xml:space="preserve"> Rabbits also provide the relative advantage of being easier to handle and more affordable than larger species.</w:t>
      </w:r>
      <w:r w:rsidRPr="0043508C">
        <w:fldChar w:fldCharType="begin"/>
      </w:r>
      <w:r w:rsidR="00DA7707">
        <w:instrText xml:space="preserve"> ADDIN ZOTERO_ITEM CSL_CITATION {"citationID":"Fc5FVWgE","properties":{"formattedCitation":"\\super 101,208\\nosupersub{}","plainCitation":"101,208","noteIndex":0},"citationItems":[{"id":627,"uris":["http://zotero.org/users/6281125/items/TCLAYZEH"],"uri":["http://zotero.org/users/6281125/items/TCLAYZEH"],"itemData":{"id":627,"type":"article-journal","abstract":"Summary The purpose of the current study was to assess the histologic and rheologic properties of the scarred vocal fold lamina propria during a chronic phase of wound repair in a rabbit model. Eighteen rabbit larynges were scarred using a procedure that involved stripping the vocal fold lamina propria down to the thyroarytenoid muscle, using 3-mm microforceps. The approximate dimension of injury to the vocal fold was 3 x 1.5 x 0.5 mm [length x width x depth]. At 6 months postoperatively, histologic analysis of the scarred and control lamina propria in eight of these rabbits was completed for collagen, procollagen, elastin, and hyaluronic acid. Compared with control samples, scarred tissue samples revealed fragmented and disorganized elastin fibers. Additionally, collagen was significantly increased, organized, and formed thick bundles in the scarred vocal fold lamina propria. Measurements of the viscoelastic shear properties of the scarred and control lamina propria in the remaining 10 rabbits revealed increased elastic shear modulus (G') in 8 of 10 scarred samples and increased dynamic viscosity (η') in 9 of 10 scarred samples. Although rheologic differences were not statistically significant, they revealed that on average, scarred samples were stiffer and more viscous than the normal controls. Histologic data are interpreted as indicating that by 6 months postinjury, the scarred rabbit vocal fold has reached a mature phase of wound repair, characterized by an increased, organized, and thick bundle collagen matrix. Rheologic data are interpreted as providing support for the potential role of increased, thick bundle collagen, and a disorganized elastin network on shear stiffness and dynamic viscosity in the chronic vocal fold scar. Based on these results, a 6-month postoperative time frame is proposed for future studies of chronic vocal fold scarring using the rabbit animal model.","container-title":"Journal of Voice","DOI":"10.1016/j.jvoice.2003.06.001","ISSN":"08921997","issue":"1","page":"116–124","title":"Characterization of chronic vocal fold scarringin a rabbit model","volume":"18","author":[{"family":"Rousseau","given":"Bernard"},{"family":"Hirano","given":"Shigeru"},{"family":"Chan","given":"Roger W"},{"family":"Welham","given":"Nathan V"},{"family":"Thibeault","given":"Susan L"},{"family":"Ford","given":"Charles N"},{"family":"Bless","given":"Diane M"}],"issued":{"date-parts":[["2004"]]}}},{"id":655,"uris":["http://zotero.org/users/6281125/items/VEW6HDA8"],"uri":["http://zotero.org/users/6281125/items/VEW6HDA8"],"itemData":{"id":655,"type":"article-journal","abstract":"PURPOSE OF REVIEW: To review recent literature on animal models used to study the pathogenesis, detection, prevention, and treatment of vocal fold scarring. Animal work is critical to studying vocal fold scarring because it is the only way to conduct systematic research on the biomechanical properties of the layered structure of the vocal fold lamina propria, and therefore develop reliable prevention and treatment strategies for this complex clinical problem.$\\backslash$n$\\backslash$nRECENT FINDINGS: During the period of review, critical anatomic, physiologic, and wound healing characteristics, which may serve as the bases for selection of a certain species to help answer a specific question, have been described in mouse, rat, rabbit, ferret, and canine models. A number of different strategies for prophylaxis and chronic scar treatment in animals show promise for clinical application. The pathways of scar formation and methods for quantifying treatment-induced change have become better defined.$\\backslash$n$\\backslash$nSUMMARY: Recent animal vocal fold scarring studies have enriched and confirmed earlier work indicating that restoring pliability to the scarred vocal fold mucosa is challenging but achievable. Differences between animal models and differences in outcome measurements across studies necessitate considering each study individually to obtain guidance for future research. With increased standardization of measurement techniques it may be possible to make more inter-study comparisons.","container-title":"Current Opinion in Otolaryngology &amp; Head and Neck Surgery","DOI":"10.1097/MOO.0b013e3283407d87","ISSN":"1068-9508","issue":"6","note":"PMID: 20962643","page":"481–486","title":"Characterization of vocal fold scar formation, prophylaxis, and treatment using animal models","volume":"18","author":[{"family":"Bless","given":"Diane M"},{"family":"Welham","given":"Nathan V"}],"issued":{"date-parts":[["2010"]]}}}],"schema":"https://github.com/citation-style-language/schema/raw/master/csl-citation.json"} </w:instrText>
      </w:r>
      <w:r w:rsidRPr="0043508C">
        <w:fldChar w:fldCharType="separate"/>
      </w:r>
      <w:r w:rsidR="00DA7707" w:rsidRPr="00DA7707">
        <w:rPr>
          <w:vertAlign w:val="superscript"/>
        </w:rPr>
        <w:t>101,208</w:t>
      </w:r>
      <w:r w:rsidRPr="0043508C">
        <w:fldChar w:fldCharType="end"/>
      </w:r>
      <w:r w:rsidRPr="0043508C">
        <w:t xml:space="preserve"> </w:t>
      </w:r>
      <w:r w:rsidR="00C03C55">
        <w:t>I</w:t>
      </w:r>
      <w:r w:rsidR="00776D28">
        <w:t xml:space="preserve">nformation </w:t>
      </w:r>
      <w:r w:rsidR="00501A29">
        <w:t>about</w:t>
      </w:r>
      <w:r w:rsidR="00E106AF">
        <w:t xml:space="preserve"> </w:t>
      </w:r>
      <w:r w:rsidR="003904C5">
        <w:t>proteins</w:t>
      </w:r>
      <w:r w:rsidR="00E106AF">
        <w:t xml:space="preserve"> involved in </w:t>
      </w:r>
      <w:r w:rsidR="003904C5">
        <w:t xml:space="preserve">the </w:t>
      </w:r>
      <w:r w:rsidR="00E106AF">
        <w:t>regulati</w:t>
      </w:r>
      <w:r w:rsidR="003904C5">
        <w:t>on of</w:t>
      </w:r>
      <w:r w:rsidR="00E106AF">
        <w:t xml:space="preserve"> VF tissue homeostasis is still evolving in rabbits</w:t>
      </w:r>
      <w:r w:rsidR="00C03C55">
        <w:t>. However,</w:t>
      </w:r>
      <w:r w:rsidR="00E106AF">
        <w:t xml:space="preserve"> the</w:t>
      </w:r>
      <w:r w:rsidR="003904C5">
        <w:t xml:space="preserve">ir advantageous characteristics </w:t>
      </w:r>
      <w:r w:rsidR="00E01471">
        <w:t xml:space="preserve">make them a useful model </w:t>
      </w:r>
      <w:r w:rsidRPr="0043508C">
        <w:t>when investigating research questions related to the safety and efficacy of current pharmacological treatments used to treat voice disorders, such as GCs</w:t>
      </w:r>
      <w:r w:rsidRPr="0043508C">
        <w:rPr>
          <w:color w:val="000000"/>
        </w:rPr>
        <w:t>.</w:t>
      </w:r>
      <w:r w:rsidRPr="0043508C">
        <w:t xml:space="preserve"> </w:t>
      </w:r>
    </w:p>
    <w:p w14:paraId="40EBD508" w14:textId="14AFBAC4" w:rsidR="002A48AB" w:rsidRPr="0043508C" w:rsidRDefault="002A48AB" w:rsidP="002A48AB">
      <w:r w:rsidRPr="0043508C">
        <w:t>Glucocorticoids are commonly used as off-label treatments for a wide variety of voice disorders due to their potent anti-inflammatory and anti-fibrotic properties.</w:t>
      </w:r>
      <w:r w:rsidRPr="0043508C">
        <w:fldChar w:fldCharType="begin"/>
      </w:r>
      <w:r w:rsidR="00DA7707">
        <w:instrText xml:space="preserve"> ADDIN ZOTERO_ITEM CSL_CITATION {"citationID":"Ul9AjJUg","properties":{"formattedCitation":"\\super 209\\uc0\\u8211{}211\\nosupersub{}","plainCitation":"209–211","noteIndex":0},"citationItems":[{"id":36,"uris":["http://zotero.org/users/6281125/items/39642MEV"],"uri":["http://zotero.org/users/6281125/items/39642MEV"],"itemData":{"id":36,"type":"article-journal","abstract":"Objective/Hypothesis: Glucocorticoids (GCs) are commonly used in the treatment of laryngeal disorders despite the absence of clear guidelines regarding their use. We sought to assess clinical practice patterns regarding GC use for various vocal fold diseases and to ascertain factors underlying the selection of particular GCs for different vocal fold pathology. Study Design: Prospective, survey. Methods: A web-based 20-question survey querying clinical indications for GC use and other factors influencing decision making in GC administration was distributed to 5280 otolaryngologists via e-mail using a commercially available database. Results: The overall response rate for the survey was 4% (212/5280). Of the respondents, 99% reported GCs to be valuable in their practice. Previous experience/results, familiarity, and use in practice (68%, 54%, and 37%, respectively) were the most commonly cited reasons for choosing a particular GC; pharmacokinetic profile and academic literature were infrequently cited reasons. Fifty-four percent of respondents were more likely to prescribe GCs for vocal performers compared with other patients. Additionally, most respondents stated that the potential for side effects only occasionally prevented GC utilization. Conclusions: GC prescription practices vary greatly among otolaryngologists. Drug choice appears to be driven primarily by clinician preference and personal experience rather than by specific pharmacologic or physiologic rationale. These findings likely reflect the current lack of well-constructed studies in the laryngology literature to guide GC selection and administration for benign disorders of the larynx and highlight an important potential area for future studies. © 2014 The Voice Foundation.","container-title":"Journal of Voice","DOI":"10.1016/j.jvoice.2013.04.015","ISSN":"18734588","issue":"1","page":"82-87","title":"Glucocorticoids for vocal fold disease: A survey of otolaryngologists","volume":"28","author":[{"family":"Govil","given":"Nandini"},{"family":"Rafii","given":"Benjamin Y."},{"family":"Paul","given":"Benjamin C."},{"family":"Ruiz","given":"Ryan"},{"family":"Amin","given":"Milan R."},{"family":"Branski","given":"Ryan C."}],"issued":{"date-parts":[["2014"]]}}},{"id":663,"uris":["http://zotero.org/users/6281125/items/IIRANBZC"],"uri":["http://zotero.org/users/6281125/items/IIRANBZC"],"itemData":{"id":663,"type":"article-journal","abstract":"Steroids are increasingly being used to treat a wide spectrum of otolaryngological disorders. It is important for ear-nose-throat surgeons to understand the short- and long-term complications associated with steroid use. The aim of this study was to review the role of steroids in common ear-nose-throat disorders. Corticosteroid therapy has been shown to be effective in the management of idiopathic facial nerve palsy, allergic rhinitis, acute sinusitis, sinonasal inflammatory polyposis, and croup. The therapeutic efficacy of steroids in the management of Meniere’s disease, sudden idiopathic sensorineural HL, chronic otitis media, and vestibular neuronitis remain controversial.","container-title":"The Laryngoscope","DOI":"10.1097/MLG.0b013e31817c0b4d","ISSN":"0023-852X","issue":"9","journalAbbreviation":"The Laryngoscope","language":"en","page":"1556-1560","source":"DOI.org (Crossref)","title":"Steroids in Otolaryngology:","title-short":"Steroids in Otolaryngology","volume":"118","author":[{"family":"Cope","given":"Daron"},{"family":"Bova","given":"Ronaldo"}],"issued":{"date-parts":[["2008",9]]}}},{"id":197,"uris":["http://zotero.org/users/6281125/items/TPW9GVWS"],"uri":["http://zotero.org/users/6281125/items/TPW9GVWS"],"itemData":{"id":197,"type":"article-journal","abstract":"Vocal fold scar is generally caused by trauma or from iatrogenic causes such as intubation, radiation therapy or phonomicrosurgery. Once a vocal fold scar has occurred it becomes a difficult problem to treat. There are many different tools that otolaryngologists use for vocal fold scar treatment. This study reviews the literature and discusses the usefulness of laryngeal steroid injection for the treatment of vocal fold scar.","container-title":"Current Opinion in Otolaryngology and Head and Neck Surgery","DOI":"10.1097/MOO.0b013e32833fe112","ISSN":"10689508","issue":"6","page":"487–491","title":"Laryngeal steroid injection for vocal fold scar","volume":"18","author":[{"family":"Mortensen","given":"Melissa"}],"issued":{"date-parts":[["2010"]]}}}],"schema":"https://github.com/citation-style-language/schema/raw/master/csl-citation.json"} </w:instrText>
      </w:r>
      <w:r w:rsidRPr="0043508C">
        <w:fldChar w:fldCharType="separate"/>
      </w:r>
      <w:r w:rsidR="00DA7707" w:rsidRPr="00DA7707">
        <w:rPr>
          <w:vertAlign w:val="superscript"/>
        </w:rPr>
        <w:t>209–211</w:t>
      </w:r>
      <w:r w:rsidRPr="0043508C">
        <w:fldChar w:fldCharType="end"/>
      </w:r>
      <w:r w:rsidRPr="0043508C">
        <w:t xml:space="preserve"> </w:t>
      </w:r>
      <w:r w:rsidRPr="0043508C">
        <w:rPr>
          <w:noProof/>
        </w:rPr>
        <w:t xml:space="preserve">While these immunomodulatory properties have made GCs an attractive therapeutic within otolaryngology, it remains unclear </w:t>
      </w:r>
      <w:r w:rsidRPr="0043508C">
        <w:t>how GCs induce physiologic changes within the VF tissue. Glucocorticoids have been administered using a variety of different routes including intramuscular and intracordal injections</w:t>
      </w:r>
      <w:r w:rsidR="005C5F77">
        <w:t xml:space="preserve"> to</w:t>
      </w:r>
      <w:r w:rsidRPr="0043508C">
        <w:t xml:space="preserve"> treat various laryngeal diseases, which have been associated with off</w:t>
      </w:r>
      <w:r w:rsidR="004C425E">
        <w:t>-</w:t>
      </w:r>
      <w:r w:rsidRPr="0043508C">
        <w:t xml:space="preserve">target effects including </w:t>
      </w:r>
      <w:r w:rsidR="005C5F77">
        <w:t>VF</w:t>
      </w:r>
      <w:r w:rsidRPr="0043508C">
        <w:t xml:space="preserve"> atrophy to the injected area.</w:t>
      </w:r>
      <w:r w:rsidRPr="0043508C">
        <w:fldChar w:fldCharType="begin"/>
      </w:r>
      <w:r w:rsidR="00DA7707">
        <w:instrText xml:space="preserve"> ADDIN ZOTERO_ITEM CSL_CITATION {"citationID":"33VGq092","properties":{"formattedCitation":"\\super 113,159,160\\nosupersub{}","plainCitation":"113,159,160","noteIndex":0},"citationItems":[{"id":"cN3eXgV6/AW7diLr7","uris":["http://www.mendeley.com/documents/?uuid=4db6e3bc-ad65-4910-b3b4-8afe0c2e705b"],"uri":["http://www.mendeley.com/documents/?uuid=4db6e3bc-ad65-4910-b3b4-8afe0c2e705b"],"itemData":{"DOI":"10.1001/archoto.2011.168","ISSN":"08864470","abstract":"Objective: To analyze the usefulness and safety of a steroid injection into vocal nodules via the cricothyroid membrane. Local administration of steroid directly into the larynx has been reported in many laryngeal diseases with different methods. Design: Prospective case series at an academic tertiary care hospital. Patients: Eighty patients with vocal nodules were enrolled between December 2008 and May 2010. Interventions: Triamcinolone acetonide was injected through the cricothyroid membrane with a transnasal flexible laryngoscope to patients in a sitting position. Main Outcome Measures: Vocal nodules were evaluated before and 2 and 4weeks after the injection; improvement was assessed both objectively and subjectively.Results: The nodules disappeared in 35 patients by the fourth week after the injection (44%), and 39 patients showed improvement (49%). Jitter, shimmer, maximum phonation time, and mean voice handicap index also improved significantly after the steroid injection (P</w:instrText>
      </w:r>
      <w:r w:rsidR="00DA7707">
        <w:rPr>
          <w:rFonts w:ascii="Cambria Math" w:hAnsi="Cambria Math" w:cs="Cambria Math"/>
        </w:rPr>
        <w:instrText>≲</w:instrText>
      </w:r>
      <w:r w:rsidR="00DA7707">
        <w:instrText>λτ</w:instrText>
      </w:r>
      <w:r w:rsidR="00DA7707">
        <w:rPr>
          <w:rFonts w:ascii="Cambria Math" w:hAnsi="Cambria Math" w:cs="Cambria Math"/>
        </w:rPr>
        <w:instrText>∀</w:instrText>
      </w:r>
      <w:r w:rsidR="00DA7707">
        <w:instrText xml:space="preserve">.05 for all). Six patients with voice-related occupations showed improvement at the second week (8%), but the nodules had recurred after 4 weeks. Four patients experienced mild vocal fold atrophy, and 2 patients showed a white plaque formation on the vocal fold that resolved spontaneously 1 to 2 months after the injection. Conclusions: A local steroid injection via the cricothyroid membrane is a useful and safe treatment option for vocal nodules. However, vocal nodules are caused mainly by excessive voice use; therefore, nodules can recur unless the voice use pattern changes. Further study of this treatment technique, including long-term follow-up, is needed. ©2011 American Medical Association. All rights reserved.","author":[{"dropping-particle":"","family":"Lee","given":"Sang Hyuk","non-dropping-particle":"","parse-names":false,"suffix":""},{"dropping-particle":"","family":"Yeo","given":"Jang Ok","non-dropping-particle":"","parse-names":false,"suffix":""},{"dropping-particle":"","family":"Choi","given":"Jeong Im","non-dropping-particle":"","parse-names":false,"suffix":""},{"dropping-particle":"","family":"Jin","given":"Hee","non-dropping-particle":"","parse-names":false,"suffix":""},{"dropping-particle":"","family":"Kim","given":"Jin Pyeong","non-dropping-particle":"","parse-names":false,"suffix":""},{"dropping-particle":"","family":"Woo","given":"Seung Hoon","non-dropping-particle":"","parse-names":false,"suffix":""},{"dropping-particle":"","family":"Jin","given":"Sung Min","non-dropping-particle":"","parse-names":false,"suffix":""}],"container-title":"Archives of Otolaryngology - Head and Neck Surgery","id":"pdV6sefH/nndJfbPX","issued":{"date-parts":[["2011"]]},"title":"Local steroid injection via the cricothyroid membrane in patients with a vocal nodule","type":"article-journal"}},{"id":6,"uris":["http://zotero.org/users/6281125/items/S7I28Z63"],"uri":["http://zotero.org/users/6281125/items/S7I28Z63"],"itemData":{"id":6,"type":"article-journal","abstract":"Objective The aim of this study was to illustrate the risk of vocal fold atrophy in patients who receive serial subepithelial steroid injections for vocal fold scar. Methods This study is a retrospective case report of two patients who underwent a series of weekly subepithelial infusions of 10 mg/mL dexamethasone for benign vocal fold lesion. Shortly after the procedures, both patients developed a weak and breathy voice. The first patient was a 53-year-old man with radiation-induced vocal fold stiffness. Six injections were performed unilaterally, and 1 week later, he developed unilateral vocal fold atrophy with new glottal insufficiency. The second patient was a 67-year-old woman with severe vocal fold inflammation related to laryngitis and calcinosis, Raynaud's phenomenon, esophagean dysmotility, sclerodactyly, and telangiectasia (CREST) syndrome. Five injections were performed bilaterally, and 1 week later, she developed bilateral vocal fold atrophy with a large midline glottal gap during phonation. In both cases, the steroid-induced vocal atrophy resolved spontaneously after 4 months. Outcomes &amp; Importance Serial subepithelial steroid infusions of the vocal folds, although safe in the majority of patients, carry the risk of causing temporary vocal fold atrophy when given at short intervals.","container-title":"Journal of Voice","DOI":"10.1016/j.jvoice.2015.10.004","ISSN":"18734588","issue":"6","page":"762-e11","title":"The risk of vocal fold atrophy after serial corticosteroid injections of the vocal fold","volume":"30","author":[{"family":"Shi","given":"Lucy L."},{"family":"Giraldez-Rodriguez","given":"Laureano A."},{"family":"Johns","given":"Michael M."}],"issued":{"date-parts":[["2016"]]}}},{"id":2545,"uris":["http://zotero.org/users/6281125/items/YPR4W5SJ"],"uri":["http://zotero.org/users/6281125/items/YPR4W5SJ"],"itemData":{"id":2545,"type":"article-journal","abstract":"Objectives/HypothesisThe purpose of this study was to investigate the morphological and histological change of vocal folds (VFs) after steroid injection in a rabbit model.Study DesignProspective animal study.SettingTertiary academic medical center.Subjects and MethodsTwenty-four New Zealand white rabbits were used in this study. We randomly classified rabbits into the 3 groups and triamcinolone acetonide suspension was injected to the right VF with different concentrations. Left VF was injected with the same volume of phosphate-buffered saline as control. Endoscopic evaluation was performed to measure morphological changes. The larynges were collected for histological analysis, and the VFs were stained with hematoxylin-eosin for assessing inflammatory response, glandular atrophy, and muscular atrophy and with Masson?s trichrome for assessing collagen deposition.ResultsIn morphological assessment, there were no differences in VF mass reduction, mucosal atrophy, and granulation formation between both VFs. Histological assessments showed no significant difference in inflammatory response, glandular atrophy, and collagen deposition between both VFs. However, there was a difference in muscular atrophy and epithelial layer thinning in steroid injected right VFs. Muscular atrophy had been completely recovered over time, but mild epithelial thinning was continued until 12 weeks. The longer exposure time and larger dose did not increase the intensity of muscular atrophy or epithelial thinning.ConclusionWe demonstrated that the VF steroid injection resulted in no significant changes in morphology and histology of rabbit VF. However, steroid injection may induce several VF histological changes and these results are needed to be considered when treating humans.","container-title":"Otolaryngology–Head and Neck Surgery","DOI":"10.1177/0194599813489657","ISSN":"0194-5998","issue":"2","journalAbbreviation":"Otolaryngol Head Neck Surg","note":"publisher: SAGE Publications Inc","page":"277-283","source":"SAGE Journals","title":"Morphological and Histological Changes of Rabbit Vocal Fold after Steroid Injection","volume":"149","author":[{"family":"Jin","given":"Hee-Jin"},{"family":"Lee","given":"Sang-Hyuk"},{"family":"Lee","given":"Seon-Uk"},{"family":"Lee","given":"Hyun-Sub"},{"family":"Jin","given":"Sung-Min"},{"family":"Kim","given":"Dong-Hun"},{"family":"Chae","given":"Seung-Wan"},{"family":"Sohn","given":"Jin-Hee"}],"issued":{"date-parts":[["2013",8,1]]}}}],"schema":"https://github.com/citation-style-language/schema/raw/master/csl-citation.json"} </w:instrText>
      </w:r>
      <w:r w:rsidRPr="0043508C">
        <w:fldChar w:fldCharType="separate"/>
      </w:r>
      <w:r w:rsidR="00DA7707" w:rsidRPr="00DA7707">
        <w:rPr>
          <w:vertAlign w:val="superscript"/>
        </w:rPr>
        <w:t>113,159,160</w:t>
      </w:r>
      <w:r w:rsidRPr="0043508C">
        <w:fldChar w:fldCharType="end"/>
      </w:r>
      <w:r w:rsidRPr="0043508C">
        <w:t xml:space="preserve"> </w:t>
      </w:r>
      <w:r w:rsidRPr="0043508C">
        <w:rPr>
          <w:color w:val="000000" w:themeColor="text1"/>
        </w:rPr>
        <w:t>Despite the known diversity of drug activity and associated negative effects, otolaryngologists reported that they typically rely on subjective clinical judgments when prescribing GCs, such as familiarity with the drug, rather than objective evidence of differential efficacy.</w:t>
      </w:r>
      <w:r w:rsidRPr="0043508C">
        <w:rPr>
          <w:color w:val="000000" w:themeColor="text1"/>
        </w:rPr>
        <w:fldChar w:fldCharType="begin"/>
      </w:r>
      <w:r w:rsidR="00DA7707">
        <w:rPr>
          <w:color w:val="000000" w:themeColor="text1"/>
        </w:rPr>
        <w:instrText xml:space="preserve"> ADDIN ZOTERO_ITEM CSL_CITATION {"citationID":"JOMvBGr1","properties":{"formattedCitation":"\\super 209\\nosupersub{}","plainCitation":"209","noteIndex":0},"citationItems":[{"id":36,"uris":["http://zotero.org/users/6281125/items/39642MEV"],"uri":["http://zotero.org/users/6281125/items/39642MEV"],"itemData":{"id":36,"type":"article-journal","abstract":"Objective/Hypothesis: Glucocorticoids (GCs) are commonly used in the treatment of laryngeal disorders despite the absence of clear guidelines regarding their use. We sought to assess clinical practice patterns regarding GC use for various vocal fold diseases and to ascertain factors underlying the selection of particular GCs for different vocal fold pathology. Study Design: Prospective, survey. Methods: A web-based 20-question survey querying clinical indications for GC use and other factors influencing decision making in GC administration was distributed to 5280 otolaryngologists via e-mail using a commercially available database. Results: The overall response rate for the survey was 4% (212/5280). Of the respondents, 99% reported GCs to be valuable in their practice. Previous experience/results, familiarity, and use in practice (68%, 54%, and 37%, respectively) were the most commonly cited reasons for choosing a particular GC; pharmacokinetic profile and academic literature were infrequently cited reasons. Fifty-four percent of respondents were more likely to prescribe GCs for vocal performers compared with other patients. Additionally, most respondents stated that the potential for side effects only occasionally prevented GC utilization. Conclusions: GC prescription practices vary greatly among otolaryngologists. Drug choice appears to be driven primarily by clinician preference and personal experience rather than by specific pharmacologic or physiologic rationale. These findings likely reflect the current lack of well-constructed studies in the laryngology literature to guide GC selection and administration for benign disorders of the larynx and highlight an important potential area for future studies. © 2014 The Voice Foundation.","container-title":"Journal of Voice","DOI":"10.1016/j.jvoice.2013.04.015","ISSN":"18734588","issue":"1","page":"82-87","title":"Glucocorticoids for vocal fold disease: A survey of otolaryngologists","volume":"28","author":[{"family":"Govil","given":"Nandini"},{"family":"Rafii","given":"Benjamin Y."},{"family":"Paul","given":"Benjamin C."},{"family":"Ruiz","given":"Ryan"},{"family":"Amin","given":"Milan R."},{"family":"Branski","given":"Ryan C."}],"issued":{"date-parts":[["2014"]]}}}],"schema":"https://github.com/citation-style-language/schema/raw/master/csl-citation.json"} </w:instrText>
      </w:r>
      <w:r w:rsidRPr="0043508C">
        <w:rPr>
          <w:color w:val="000000" w:themeColor="text1"/>
        </w:rPr>
        <w:fldChar w:fldCharType="separate"/>
      </w:r>
      <w:r w:rsidR="00DA7707" w:rsidRPr="00DA7707">
        <w:rPr>
          <w:vertAlign w:val="superscript"/>
        </w:rPr>
        <w:t>209</w:t>
      </w:r>
      <w:r w:rsidRPr="0043508C">
        <w:rPr>
          <w:color w:val="000000" w:themeColor="text1"/>
        </w:rPr>
        <w:fldChar w:fldCharType="end"/>
      </w:r>
      <w:r w:rsidRPr="0043508C">
        <w:rPr>
          <w:color w:val="000000" w:themeColor="text1"/>
        </w:rPr>
        <w:t xml:space="preserve"> </w:t>
      </w:r>
    </w:p>
    <w:p w14:paraId="3258620F" w14:textId="2E65D4E7" w:rsidR="002A48AB" w:rsidRPr="0043508C" w:rsidRDefault="002A48AB" w:rsidP="002A48AB">
      <w:pPr>
        <w:rPr>
          <w:noProof/>
        </w:rPr>
      </w:pPr>
      <w:r w:rsidRPr="0043508C">
        <w:tab/>
        <w:t xml:space="preserve">The purpose of this study was to identify the localization of key VF constituents in rabbit and human VFs, as well as understand and characterize the temporal effects of acute GC treatment on the VF tissue. </w:t>
      </w:r>
      <w:r w:rsidRPr="0043508C">
        <w:rPr>
          <w:color w:val="000000" w:themeColor="text1"/>
        </w:rPr>
        <w:t>Characterization of GC</w:t>
      </w:r>
      <w:r w:rsidR="004C425E">
        <w:rPr>
          <w:color w:val="000000" w:themeColor="text1"/>
        </w:rPr>
        <w:t>-</w:t>
      </w:r>
      <w:r w:rsidRPr="0043508C">
        <w:rPr>
          <w:color w:val="000000" w:themeColor="text1"/>
        </w:rPr>
        <w:t>induced tissue changes in the VFs, especially any differential effects between GCs, is necessary for physicians to better understand the utility of GCs and to accurately modify drug selection for patient-specific needs.</w:t>
      </w:r>
    </w:p>
    <w:p w14:paraId="03B69E3D" w14:textId="77777777" w:rsidR="002A48AB" w:rsidRPr="0043508C" w:rsidRDefault="002A48AB" w:rsidP="002A48AB">
      <w:pPr>
        <w:pBdr>
          <w:top w:val="nil"/>
          <w:left w:val="nil"/>
          <w:bottom w:val="nil"/>
          <w:right w:val="nil"/>
          <w:between w:val="nil"/>
        </w:pBdr>
        <w:ind w:right="-14"/>
      </w:pPr>
      <w:r w:rsidRPr="0043508C">
        <w:t>The specific aims and hypotheses for this study were as follows:</w:t>
      </w:r>
    </w:p>
    <w:p w14:paraId="0FE133E6" w14:textId="77777777" w:rsidR="002A48AB" w:rsidRPr="0043508C" w:rsidRDefault="002A48AB" w:rsidP="002A48AB">
      <w:pPr>
        <w:pBdr>
          <w:top w:val="nil"/>
          <w:left w:val="nil"/>
          <w:bottom w:val="nil"/>
          <w:right w:val="nil"/>
          <w:between w:val="nil"/>
        </w:pBdr>
        <w:ind w:right="-14"/>
      </w:pPr>
    </w:p>
    <w:p w14:paraId="440A8311" w14:textId="059DB222" w:rsidR="002A48AB" w:rsidRPr="0043508C" w:rsidRDefault="002A48AB" w:rsidP="00172B42">
      <w:pPr>
        <w:pBdr>
          <w:top w:val="nil"/>
          <w:left w:val="nil"/>
          <w:bottom w:val="nil"/>
          <w:right w:val="nil"/>
          <w:between w:val="nil"/>
        </w:pBdr>
        <w:ind w:right="-14"/>
      </w:pPr>
      <w:r w:rsidRPr="0043508C">
        <w:t xml:space="preserve">Aim 1: Compare the localization of integral membrane proteins including Na+/K+-ATPase, AQPs, </w:t>
      </w:r>
      <w:r w:rsidR="005C5F77">
        <w:t>e</w:t>
      </w:r>
      <w:r w:rsidRPr="0043508C">
        <w:t>-cadherin, ZO-1, and occludin in human and rabbit VF tissue. The following hypothesis was investigated: Integral membrane proteins will be similarly localized between species.</w:t>
      </w:r>
    </w:p>
    <w:p w14:paraId="2736D7CE" w14:textId="5D40125D" w:rsidR="002A48AB" w:rsidRPr="0043508C" w:rsidRDefault="002A48AB" w:rsidP="00172B42">
      <w:pPr>
        <w:pBdr>
          <w:top w:val="nil"/>
          <w:left w:val="nil"/>
          <w:bottom w:val="nil"/>
          <w:right w:val="nil"/>
          <w:between w:val="nil"/>
        </w:pBdr>
        <w:ind w:right="-14"/>
      </w:pPr>
      <w:r w:rsidRPr="0043508C">
        <w:t xml:space="preserve">Aim 2: Investigate the acute effects of </w:t>
      </w:r>
      <w:r w:rsidR="005C5F77" w:rsidRPr="0043508C">
        <w:t xml:space="preserve">intramuscular </w:t>
      </w:r>
      <w:r w:rsidRPr="0043508C">
        <w:t xml:space="preserve">dexamethasone and methylprednisolone injections on </w:t>
      </w:r>
      <w:r w:rsidR="006876D2">
        <w:t>TA</w:t>
      </w:r>
      <w:r w:rsidR="006876D2" w:rsidRPr="0043508C">
        <w:t xml:space="preserve"> muscle morphology</w:t>
      </w:r>
      <w:r w:rsidR="006876D2">
        <w:t xml:space="preserve"> and </w:t>
      </w:r>
      <w:r w:rsidR="00185D8F">
        <w:t>the fl</w:t>
      </w:r>
      <w:r w:rsidR="00AB7B63">
        <w:t>uoresc</w:t>
      </w:r>
      <w:r w:rsidR="00185D8F">
        <w:t xml:space="preserve">ence expression of </w:t>
      </w:r>
      <w:r w:rsidRPr="0043508C">
        <w:t>Z</w:t>
      </w:r>
      <w:r w:rsidR="00172B42">
        <w:t>O</w:t>
      </w:r>
      <w:r w:rsidRPr="0043508C">
        <w:t>-1, vascularity marker</w:t>
      </w:r>
      <w:r w:rsidR="0078109A" w:rsidRPr="0078109A">
        <w:rPr>
          <w:rFonts w:ascii="Roboto" w:hAnsi="Roboto"/>
          <w:color w:val="4D5156"/>
          <w:sz w:val="21"/>
          <w:szCs w:val="21"/>
          <w:shd w:val="clear" w:color="auto" w:fill="FFFFFF"/>
        </w:rPr>
        <w:t xml:space="preserve"> </w:t>
      </w:r>
      <w:r w:rsidR="0078109A" w:rsidRPr="0078109A">
        <w:t>cluster of differentiation</w:t>
      </w:r>
      <w:r w:rsidRPr="0043508C">
        <w:t xml:space="preserve"> </w:t>
      </w:r>
      <w:r w:rsidR="0078109A">
        <w:t>(</w:t>
      </w:r>
      <w:r w:rsidRPr="0043508C">
        <w:t>CD</w:t>
      </w:r>
      <w:r w:rsidR="0078109A">
        <w:t>)</w:t>
      </w:r>
      <w:r w:rsidRPr="0043508C">
        <w:t>31,</w:t>
      </w:r>
      <w:r w:rsidR="00AB7B63">
        <w:t xml:space="preserve"> </w:t>
      </w:r>
      <w:r w:rsidR="006876D2">
        <w:t xml:space="preserve">and </w:t>
      </w:r>
      <w:r w:rsidRPr="0043508C">
        <w:t>GCR</w:t>
      </w:r>
      <w:r w:rsidR="006876D2">
        <w:t xml:space="preserve"> </w:t>
      </w:r>
      <w:r w:rsidRPr="0043508C">
        <w:t>in rabbit VFs. The following hypotheses were investigated: Due to differential mechanisms of action</w:t>
      </w:r>
      <w:r w:rsidR="00783527">
        <w:t>,</w:t>
      </w:r>
      <w:r w:rsidRPr="0043508C">
        <w:t xml:space="preserve"> dexamethasone will increase Z</w:t>
      </w:r>
      <w:r w:rsidR="00783527">
        <w:t>O</w:t>
      </w:r>
      <w:r w:rsidRPr="0043508C">
        <w:t xml:space="preserve">-1 expression compared to controls, while methylprednisolone will decrease ZO-1 expression compared to controls. Both GCs will decrease CD31, GCR, and </w:t>
      </w:r>
      <w:r w:rsidR="00783527">
        <w:t>TA</w:t>
      </w:r>
      <w:r w:rsidRPr="0043508C">
        <w:t xml:space="preserve"> muscle fiber CSA compared to controls.</w:t>
      </w:r>
    </w:p>
    <w:p w14:paraId="2646C398" w14:textId="02F1E196" w:rsidR="000E74B9" w:rsidRPr="000E74B9" w:rsidRDefault="002A48AB" w:rsidP="005D01F2">
      <w:pPr>
        <w:pBdr>
          <w:top w:val="nil"/>
          <w:left w:val="nil"/>
          <w:bottom w:val="nil"/>
          <w:right w:val="nil"/>
          <w:between w:val="nil"/>
        </w:pBdr>
        <w:ind w:right="-14"/>
      </w:pPr>
      <w:r w:rsidRPr="0043508C">
        <w:t>Aim 3: Investigate the effects of an intracordal injection of dexamethasone on atrophy</w:t>
      </w:r>
      <w:r w:rsidR="004C425E">
        <w:t>-</w:t>
      </w:r>
      <w:r w:rsidRPr="0043508C">
        <w:t xml:space="preserve">associated gene expression, </w:t>
      </w:r>
      <w:r w:rsidRPr="006D3EBD">
        <w:t xml:space="preserve">including MuRF-1 and </w:t>
      </w:r>
      <w:r w:rsidR="006D3EBD" w:rsidRPr="006D3EBD">
        <w:t>a</w:t>
      </w:r>
      <w:r w:rsidRPr="006D3EBD">
        <w:t>trogin-1</w:t>
      </w:r>
      <w:r w:rsidRPr="0043508C">
        <w:t xml:space="preserve">, and </w:t>
      </w:r>
      <w:r w:rsidR="0002051C">
        <w:t>TA</w:t>
      </w:r>
      <w:r w:rsidRPr="0043508C">
        <w:t xml:space="preserve"> muscle morphology in rabbit VFs. The following hypotheses were investigated: Dexamethasone</w:t>
      </w:r>
      <w:r w:rsidR="004735BC">
        <w:t>-</w:t>
      </w:r>
      <w:r w:rsidRPr="0043508C">
        <w:t>treated VFs will show increase</w:t>
      </w:r>
      <w:r w:rsidR="0071754E">
        <w:t>s in</w:t>
      </w:r>
      <w:r w:rsidRPr="0043508C">
        <w:t xml:space="preserve"> transcription levels of atrophy associated genes and decrease</w:t>
      </w:r>
      <w:r w:rsidR="0071754E">
        <w:t>s in</w:t>
      </w:r>
      <w:r w:rsidRPr="0043508C">
        <w:t xml:space="preserve"> </w:t>
      </w:r>
      <w:r w:rsidR="0002051C">
        <w:t>TA</w:t>
      </w:r>
      <w:r w:rsidRPr="0043508C">
        <w:t xml:space="preserve"> muscle fiber CSA in comparison to saline</w:t>
      </w:r>
      <w:r w:rsidR="004C425E">
        <w:t>-</w:t>
      </w:r>
      <w:r w:rsidRPr="0043508C">
        <w:t xml:space="preserve">treated </w:t>
      </w:r>
      <w:r w:rsidR="0002051C">
        <w:t>VFs</w:t>
      </w:r>
      <w:r w:rsidRPr="0043508C">
        <w:t xml:space="preserve"> and untreated controls.</w:t>
      </w:r>
    </w:p>
    <w:p w14:paraId="7073F615" w14:textId="50203B76" w:rsidR="008D68E2" w:rsidRDefault="008D68E2" w:rsidP="00061680">
      <w:pPr>
        <w:pStyle w:val="Heading3"/>
      </w:pPr>
      <w:bookmarkStart w:id="56" w:name="_Toc88218527"/>
      <w:r>
        <w:t>Power Analyses</w:t>
      </w:r>
      <w:bookmarkEnd w:id="56"/>
    </w:p>
    <w:p w14:paraId="35BA3E88" w14:textId="2446AB02" w:rsidR="008D68E2" w:rsidRPr="00A37721" w:rsidRDefault="008D68E2" w:rsidP="008D68E2">
      <w:r>
        <w:t>S</w:t>
      </w:r>
      <w:r w:rsidRPr="00A37721">
        <w:t>tatistical power analys</w:t>
      </w:r>
      <w:r>
        <w:t>es</w:t>
      </w:r>
      <w:r w:rsidRPr="00A37721">
        <w:t xml:space="preserve"> w</w:t>
      </w:r>
      <w:r>
        <w:t>ere</w:t>
      </w:r>
      <w:r w:rsidRPr="00A37721">
        <w:t xml:space="preserve"> conducted </w:t>
      </w:r>
      <w:r w:rsidRPr="00A37721">
        <w:rPr>
          <w:i/>
          <w:iCs/>
        </w:rPr>
        <w:t>a priori</w:t>
      </w:r>
      <w:r w:rsidRPr="00A37721">
        <w:t xml:space="preserve"> to determine an adequate sample size to address the proposed hypotheses in </w:t>
      </w:r>
      <w:r w:rsidR="00C7780F">
        <w:t>a</w:t>
      </w:r>
      <w:r w:rsidRPr="00A37721">
        <w:t>im</w:t>
      </w:r>
      <w:r>
        <w:t>s</w:t>
      </w:r>
      <w:r w:rsidRPr="00A37721">
        <w:t xml:space="preserve"> 2</w:t>
      </w:r>
      <w:r>
        <w:t xml:space="preserve"> and 3</w:t>
      </w:r>
      <w:r w:rsidRPr="00A37721">
        <w:t>. The expected effect size</w:t>
      </w:r>
      <w:r>
        <w:t>s</w:t>
      </w:r>
      <w:r w:rsidRPr="00A37721">
        <w:t xml:space="preserve"> of </w:t>
      </w:r>
      <w:r>
        <w:t>f = 0.9 and 1.5</w:t>
      </w:r>
      <w:r w:rsidRPr="00A37721">
        <w:t xml:space="preserve"> </w:t>
      </w:r>
      <w:r>
        <w:t>were used and based on preliminary fluorescence expression changes in relevant proteins following GC treatment, and previously published reports of changes in atrophy</w:t>
      </w:r>
      <w:r w:rsidR="004C425E">
        <w:t>-</w:t>
      </w:r>
      <w:r>
        <w:t>associated gene expression and muscle CSA, respectively.</w:t>
      </w:r>
      <w:r w:rsidRPr="0098669A">
        <w:fldChar w:fldCharType="begin"/>
      </w:r>
      <w:r w:rsidR="00DA7707">
        <w:instrText xml:space="preserve"> ADDIN ZOTERO_ITEM CSL_CITATION {"citationID":"9qwQEWtu","properties":{"formattedCitation":"\\super 197,212\\nosupersub{}","plainCitation":"197,212","noteIndex":0},"citationItems":[{"id":1640,"uris":["http://zotero.org/users/6281125/items/4FF2CTQJ"],"uri":["http://zotero.org/users/6281125/items/4FF2CTQJ"],"itemData":{"id":1640,"type":"article-journal","abstract":"Skeletal muscle atrophy occurs under a variety of conditions and can result from alterations in both protein synthesis and protein degradation. The muscle-specific E3 ubiquitin ligases, MuRF1 and MAFbx, are excellent markers of muscle atrophy and increase under divergent atrophy-inducing conditions such as denervation and glucocorticoid treatment. While deletion of MuRF1 or MAFbx has been reported to spare muscle mass following 14 days of denervation, their role in other atrophy-inducing conditions is unclear. The goal of this study was to determine whether deletion of MuRF1 or MAFbx attenuates muscle atrophy after 2 weeks of treatment with the synthetic glucocorticoid dexamethasone (DEX). The response of the triceps surae (TS) and tibialis anterior (TA) muscles to 14 days of DEX treatment (3 mg kg(-1) day(-1)) was examined in 4 month-old male and female wild type (WT) and MuRF1 or MAFbx knock out (KO) mice. Following 14 days of DEX treatment, muscle wet weight was significantly decreased in the TS and TA of WT mice. Comparison of WT and KO mice following DEX treatment revealed significant sparing of mass in both sexes of the MuRF1 KO mice, but no muscle sparing in MAFbx KO mice. Further analysis of the MuRF1 KO mice showed significant sparing of fibre cross-sectional area and tension output in the gastrocnemius (GA) after DEX treatment. Muscle sparing in the MuRF1 KO mice was related to maintenance of protein synthesis, with no observed increases in protein degradation in either WT or MuRF1 KO mice. These results demonstrate that MuRF1 and MAFbx do not function similarly under all atrophy models, and that the primary role of MuRF1 may extend beyond controlling protein degradation via the ubiquitin proteasome system.","container-title":"The Journal of Physiology","DOI":"10.1113/jphysiol.2011.212845","ISSN":"1469-7793","issue":"Pt 19","journalAbbreviation":"J. Physiol. (Lond.)","language":"eng","note":"PMID: 21807613\nPMCID: PMC3213422","page":"4759-4776","source":"PubMed","title":"Muscle sparing in muscle RING finger 1 null mice: response to synthetic glucocorticoids","title-short":"Muscle sparing in muscle RING finger 1 null mice","volume":"589","author":[{"family":"Baehr","given":"Leslie M."},{"family":"Furlow","given":"J. David"},{"family":"Bodine","given":"Sue C."}],"issued":{"date-parts":[["2011",10,1]]}}},{"id":1645,"uris":["http://zotero.org/users/6281125/items/6WR7FR5U"],"uri":["http://zotero.org/users/6281125/items/6WR7FR5U"],"itemData":{"id":1645,"type":"article-journal","abstract":"We investigated the utility of branched-chain amino acids (BCAA) in dexamethasone-induced muscle atrophy. Dexamethasone (600 microg/kg, intraperitoneally) and/or BCAA (600 mg/kg, orally) were administered for 5 days in rats, and the effect of BCAA on dexamethasone-induced muscle atrophy was evaluated. Dexamethasone decreased total protein concentration of rat soleus muscles. Concomitant administration of BCAA reversed the decrease. Dexamethasone decreased mean cross-sectional area of soleus muscle fibers, which was reversed by BCAA. Dexamethasone increased atrogin-1 expression, which has been reported to play a pivotal role in muscle atrophy. The increased expression of atrogin-1 mRNA was significantly attenuated by BCAA. Furthermore, dexamethasone-induced conversion from microtubule-associated protein 1 light chain 3 (LC3)-I to LC3-II, which is an indicator of autophagy, was blocked by BCAA. These findings suggest that BCAA decreased protein breakdown to prevent muscle atrophy. BCAA administration appears to be useful for prevention of steroid myopathy.","container-title":"Muscle &amp; Nerve","DOI":"10.1002/mus.21621","ISSN":"1097-4598","issue":"6","journalAbbreviation":"Muscle Nerve","language":"eng","note":"PMID: 20169591","page":"819-827","source":"PubMed","title":"Branched-chain amino acids protect against dexamethasone-induced soleus muscle atrophy in rats","volume":"41","author":[{"family":"Yamamoto","given":"Daisuke"},{"family":"Maki","given":"Taiki"},{"family":"Herningtyas","given":"Elizabeth Henny"},{"family":"Ikeshita","given":"Nobuko"},{"family":"Shibahara","given":"Hiromi"},{"family":"Sugiyama","given":"Yuka"},{"family":"Nakanishi","given":"Shiho"},{"family":"Iida","given":"Keiji"},{"family":"Iguchi","given":"Genzo"},{"family":"Takahashi","given":"Yutaka"},{"family":"Kaji","given":"Hidesuke"},{"family":"Chihara","given":"Kazuo"},{"family":"Okimura","given":"Yasuhiko"}],"issued":{"date-parts":[["2010",6]]}}}],"schema":"https://github.com/citation-style-language/schema/raw/master/csl-citation.json"} </w:instrText>
      </w:r>
      <w:r w:rsidRPr="0098669A">
        <w:fldChar w:fldCharType="separate"/>
      </w:r>
      <w:r w:rsidR="00DA7707" w:rsidRPr="00DA7707">
        <w:rPr>
          <w:vertAlign w:val="superscript"/>
        </w:rPr>
        <w:t>197,212</w:t>
      </w:r>
      <w:r w:rsidRPr="0098669A">
        <w:fldChar w:fldCharType="end"/>
      </w:r>
      <w:r w:rsidRPr="00A37721">
        <w:t xml:space="preserve"> </w:t>
      </w:r>
      <w:r>
        <w:t xml:space="preserve"> </w:t>
      </w:r>
      <w:r w:rsidRPr="00A37721">
        <w:t>Based on th</w:t>
      </w:r>
      <w:r>
        <w:t>ese</w:t>
      </w:r>
      <w:r w:rsidRPr="00A37721">
        <w:t xml:space="preserve"> relative effect size</w:t>
      </w:r>
      <w:r>
        <w:t>s,</w:t>
      </w:r>
      <w:r w:rsidRPr="00A37721">
        <w:t xml:space="preserve"> a sample size of </w:t>
      </w:r>
      <w:r w:rsidR="00C7780F">
        <w:t>five</w:t>
      </w:r>
      <w:r w:rsidRPr="00A37721">
        <w:t xml:space="preserve"> </w:t>
      </w:r>
      <w:r>
        <w:t>VF</w:t>
      </w:r>
      <w:r w:rsidRPr="00A37721">
        <w:t xml:space="preserve"> specimens per condition will allow</w:t>
      </w:r>
      <w:r w:rsidR="003A5A97">
        <w:t xml:space="preserve"> the study to</w:t>
      </w:r>
      <w:r w:rsidRPr="00A37721">
        <w:t xml:space="preserve"> achieve 80% power (β</w:t>
      </w:r>
      <w:r w:rsidR="00A26205">
        <w:t xml:space="preserve"> </w:t>
      </w:r>
      <w:r w:rsidRPr="00A37721">
        <w:t>=</w:t>
      </w:r>
      <w:r w:rsidR="00A26205">
        <w:t xml:space="preserve"> </w:t>
      </w:r>
      <w:r w:rsidRPr="00A37721">
        <w:t xml:space="preserve">0.20) for detecting differences between conditions, at an adjusted alpha level of </w:t>
      </w:r>
      <w:r w:rsidR="00A1201C">
        <w:t xml:space="preserve">p = </w:t>
      </w:r>
      <w:r>
        <w:t xml:space="preserve">0.001 for </w:t>
      </w:r>
      <w:r w:rsidR="00C7780F">
        <w:t>a</w:t>
      </w:r>
      <w:r>
        <w:t>im 2, and p = 0.016 for aim 3</w:t>
      </w:r>
      <w:r w:rsidRPr="00A37721">
        <w:t>.</w:t>
      </w:r>
      <w:r>
        <w:t xml:space="preserve"> </w:t>
      </w:r>
      <w:r w:rsidRPr="00A37721">
        <w:t>This sample size has also been used to achieve adequate power in our previous studies and similar reports in the literature</w:t>
      </w:r>
      <w:r>
        <w:t>.</w:t>
      </w:r>
      <w:r w:rsidRPr="00C36F25">
        <w:fldChar w:fldCharType="begin"/>
      </w:r>
      <w:r w:rsidR="00DA7707">
        <w:instrText xml:space="preserve"> ADDIN ZOTERO_ITEM CSL_CITATION {"citationID":"jBr4pVEy","properties":{"formattedCitation":"\\super 88,90,213\\uc0\\u8211{}217\\nosupersub{}","plainCitation":"88,90,213–217","noteIndex":0},"citationItems":[{"id":323,"uris":["http://zotero.org/users/6281125/items/BMCQ945W"],"uri":["http://zotero.org/users/6281125/items/BMCQ945W"],"itemData":{"id":323,"type":"article-journal","abstract":"Objectives-The purpose of this study was to: 1) investigate the feasibility of performing mucosal elevation of a vocal fold microflap in a rabbit model, and 2) measure the acute healing of rabbit microflap incisions compared to control vocal folds. Study Design-Prospective animal study Methods-Ten New Zealand white rabbits were used in this study. All rabbits received a 3mm incision through the epithelium of one vocal fold using a sickle knife and mucosal elevation through this incision using a microlaryngeal fine angled spatula. The contralateral vocal fold was left intact to serve as an internal control. Student t tests were used to investigate differences in epithelial thickness, immunohistochemical staining of CD 45, and inflammatory and pro-fibrotic gene expression between vocal folds undergoing microflap and control. Results-Exposure of the rabbit larynx was achieved, allowing for the identification of a surgical plane and the creation of a microflap and elevation of the vocal fold mucosa. Hematoxylin-eosin staining revealed no significant differences in epithelial thickness, immunohistochemistry for CD 45 showed no significant differences in CD 45 positive cells, and quantitative PCR revealed no significant differences in IL-1β, TGFβ-1, or COX-2 gene expression between vocal folds undergoing microflap and control. Conclusions-We demonstrate the feasibility of vocal fold microflap surgery in a rabbit model. With the advantage of greater access to primers and antibodies for molecular biological studies, the application of the microflap technique in a small animal model such as rabbit has broad implications for future experimental investigations in laryngology. Level of Evidence-Animal Research.","container-title":"Laryngoscope","DOI":"10.1002/lary.22470","issue":"3","page":"600–605","title":"Feasibility and acute healing of vocal fold microflap incisions in a rabbit model","volume":"122","author":[{"family":"Suehiro","given":"Atsushi"},{"family":"Bock","given":"Jonathan M"},{"family":"Hall","given":"Joseph E"},{"family":"Gaelyn Garrett","given":"C"},{"family":"Rousseau","given":"Bernard"}],"issued":{"date-parts":[["2012"]]}}},{"id":926,"uris":["http://zotero.org/users/6281125/items/FIGJJTND"],"uri":["http://zotero.org/users/6281125/items/FIGJJTND"],"itemData":{"id":926,"type":"article-journal","abstract":"Because the vocal folds undergo repeated trauma during continuous cycles of vibration, the epithelium is routinely susceptible to damage during phonation. Excessive and prolonged vibration exposure is considered a significant predisposing factor in the development of vocal fold pathology. The purpose of the present study was to quantify the extent of epithelial surface damage following increased time and magnitude doses of vibration exposure using an in vivo rabbit phonation model. Forty-five New Zealand white breeder rabbits were randomized to nine groups and received varying phonation time-doses (30, 60, or 120 minutes) and magnitude-doses (control, modal intensity phonation, or raised intensity phonation) of vibration exposure. Scanning electron microscopy and transmission electron microscopy was used to quantify the degree of epithelial surface damage. Results revealed a significant reduction in microprojection density, microprojection height, and depth of the epithelial surface with increasing time and phonation magnitudes doses, signifying increased epithelial surface damage risk with excessive and prolonged vibration exposure. Destruction to the epithelial cell surface may provide significant insight into the disruption of cell function following prolonged vibration exposure. One important goal achieved in the present study was the quantification of epithelial surface damage using objective imaging criteria. These data provide an important foundation for future studies of long-term tissue recovery from excessive and prolonged vibration exposure.","container-title":"PLOS ONE","DOI":"10.1371/journal.pone.0091615","ISSN":"1932-6203","issue":"3","journalAbbreviation":"PLOS ONE","language":"en","note":"publisher: Public Library of Science","page":"e91615","source":"PLoS Journals","title":"Quantification of Acute Vocal Fold Epithelial Surface Damage with Increasing Time and Magnitude Doses of Vibration Exposure","volume":"9","author":[{"family":"Kojima","given":"Tsuyoshi"},{"family":"Deusen","given":"Mark Van"},{"family":"Jerome","given":"W. Gray"},{"family":"Garrett","given":"C. Gaelyn"},{"family":"Sivasankar","given":"M. Preeti"},{"family":"Novaleski","given":"Carolyn K."},{"family":"Rousseau","given":"Bernard"}],"issued":{"date-parts":[["2014",3,13]]}}},{"id":54,"uris":["http://zotero.org/users/6281125/items/T3GCG2PJ"],"uri":["http://zotero.org/users/6281125/items/T3GCG2PJ"],"itemData":{"id":54,"type":"article-journal","abstract":"Objectives: We determined the expression of matrix metalloproteinase (MMP)-1, MMP-9, collagen types I and III, and fibronectin from rabbit vocal folds after injury. Methods: Thirty rabbits were involved in this study. Five animals were assigned to each time period. Noninjured vocal fold specimens were collected as a control. Gene expression was analyzed at 2, 4, 8, 24, 48, and 72 hours after injury by use of real-time polymerase chain reaction. Results: Compared to 2 hours after injury, MMP-1 expression was increased at 4, 8, 24, 48, and 72 hours. Compared to 4 hours, MMP-1 expression was increased at 8, 24, 48, and 72 hours. Compared to the control specimens, MMP-9 expression was increased at 4, 8, 24, 48, and 72 hours. Compared to 2 hours, MMP-9 expression was increased at 4, 8, 24, 48, and 72 hours. Compared to 2 and 4 hours, collagen type I expression was increased at 72 hours. Collagen type III expression was increased at 72 hours compared to 2, 4, and 8 hours. Compared to 2 hours, fibronectin expression was increased at 24, 48, and 72 hours. Conclusions: Results revealed time-dependent changes in expression of MMP-1, MMP-9, collagen types I and III, and fibronectin from rabbit vocal folds after injury. Future experiments are planned to investigate the effects of phonation on expression of these genes after injury. © 2008 Annals Publishing Company. All rights reserved.","container-title":"Annals of Otology, Rhinology and Laryngology","DOI":"10.1177/000348940811700809","ISSN":"00034894","issue":"8","note":"PMID: 18771077","page":"598-603","title":"Extracellular matrix gene expression after vocal fold injury in a rabbit model","volume":"117","author":[{"family":"Rousseau","given":"Bernard"},{"family":"Ge","given":"Ping Jiang"},{"family":"Ohno","given":"Tsunehisa"},{"family":"French","given":"Lesley C."},{"family":"Thibeault","given":"Susan L."}],"issued":{"date-parts":[["2008"]]}}},{"id":55,"uris":["http://zotero.org/users/6281125/items/9GWN7Y43"],"uri":["http://zotero.org/users/6281125/items/9GWN7Y43"],"itemData":{"id":55,"type":"article-journal","abstract":"Objectives: Inflammatory factors are key mediators of wound healing processes following injury, and their modulation may improve healing outcomes. The objective of this study was to characterize in vivo inflammatory factor and extracellular matrix (ECM) messenger RNA (mRNA) expression levels 1 hour after vocal fold injury. Methods: Five Sprague-Dawley rats were subjected to bilateral vocal fold injury, 5 rats were reserved as uninjured controls, and 1 rat was subjected to unilateral vocal fold injury and reserved for histology. Tissue was harvested 1 hour after injury. Real-time reverse transcription-polymerase chain reaction was performed to examine the mRNA expression profiles of inflammatory factors nuclear factor kappa beta (NF-κβ), interferon gamma (IFN-γ), cyclooxygenase 2 (COX-2), transforming growth factor beta isoform 1 (TGF-β1), tumor necrosis factor alpha (TNF-α), and interleukin 1 beta (IL-1β), as well as ECM genes hyaluronic acid synthase (HAS) 1, HAS-2, procollagen 1, procollagen 3, and elastin, in the injured samples compared with the uninjured controls. Results: Injury resulted in subepithelial bleeding throughout the vocal fold. The COX-2, TNF-α, IL-1β, and HAS-1 mRNA expression levels were significantly up-regulated 1 hour after injury compared with the uninjured controls. Conclusions: Inflammatory factor and ECM gene expression changes occur in vocal fold wound sites as early as 1 hour after injury. These results should inform future efforts to attenuate vocal fold scarring via the modulation of inflammatory factors. © 2008 Annals Publishing Company. All rights reserved.","container-title":"Annals of Otology, Rhinology and Laryngology","DOI":"10.1177/000348940811700213","ISSN":"00034894","issue":"2","page":"145-152","title":"Inflammatory factor profiles one hour following vocal fold injury","volume":"117","author":[{"family":"Welham","given":"Nathan V."},{"family":"Lim","given":"Xinhong"},{"family":"Tateya","given":"Ichiro"},{"family":"Bless","given":"Diane M."}],"issued":{"date-parts":[["2008"]]}}},{"id":51,"uris":["http://zotero.org/users/6281125/items/RQH8AFRP"],"uri":["http://zotero.org/users/6281125/items/RQH8AFRP"],"itemData":{"id":51,"type":"article-journal","abstract":"Objectives: Vocal fold scarring is the major cause of voice disorders after voice surgery or laryngeal trauma. The role of inflammatory factors in vocal fold wound healing and fibrosis has not been adequately investigated. Scarless wound healing has been associated with decreased inflammatory responses. To understand scar formation and develop reliable treatments, it is necessary to control extracellular matrix production and inflammation. Thus, we examined the inflammation profile and extracellular matrix production in wounded vocal folds in the acute phase of wound healing. Methods: Vocal fold stripping was performed on 30 Sprague-Dawley rats. Vocal fold tissue was collected at 5 time points (4, 8, 16, 24, and 72 hours). We examined the in vivo messenger RNA expression profile of inflammatory factors interleukin 1β, interferon γ, tumor necrosis factor a, nuclear factor κβ, transforming growth factor β, and cyclooxygenase 2, as well as hyaluronic acid synthases 1 and 2, procollagen subtypes I and III, and elastin synthase in scarred vocal folds after injury, compared to normal vocal folds, using real-time reverse transcription-polymerase chain reaction. Results: The inflammatory factors showed a time-dependent sequence of expression peaks, starting with interleukin 1β, nuclear factor κβ, tumor necrosis factor α (4 and 8 hours), and transforming growth factor β (72 hours). Interferon γ decreased at 24 hours. Correspondingly, hyaluronic acid synthase 1 expression peaked first (4 and 8 hours), whereas hyaluronic acid synthase 2 expression peaked at 16 hours and again at 72 hours. Procollagen I expression peaked at 72 hours, whereas procollagen III decreased from 8 to 16 hours but peaked at 72 hours. Cyclooxygenase 2 expression was elevated, whereas elastin expression remained constant. Conclusions: The results show a clear profile of vocal fold inflammation with corresponding changes in extracellular matrix production. © 2006 Annals Publishing Company. All rights reserved.","container-title":"Annals of Otology, Rhinology and Laryngology","DOI":"10.1177/000348940611501212","ISSN":"00034894","issue":"12","page":"921-929","title":"Immediate inflammatory response and scar formation in wounded vocal folds","volume":"115","author":[{"family":"Lim","given":"Xinhong"},{"family":"Tateya","given":"Ichiro"},{"family":"Tateya","given":"Tomoko"},{"family":"Muñoz-Del-Río","given":"Alejandro"},{"family":"Bless","given":"Diane M."}],"issued":{"date-parts":[["2006"]]}}},{"id":66,"uris":["http://zotero.org/users/6281125/items/IXX3XWDI"],"uri":["http://zotero.org/users/6281125/items/IXX3XWDI"],"itemData":{"id":66,"type":"article-journal","abstract":"To examine the functional effects of hyaluronan and collagen alterations in acute vocal fold scar, we injured 15 pig larynges by vocal fold mucosa stripping. At 3, 10, and 15 days after operation, we performed excised larynx experiments to measure phonation threshold pressure (PTP) and vocal economy (an acoustic output-cost ratio; OCR), and then performed hyaluronan and collagen assays. Five uninjured larynges were used as excised controls. Hyaluronan was reduced in the scarred vocal folds through 15 days of wound healing. Collagen was increased at day 15. The PTP was increased and OCR was decreased in scarred larynges, indicating decreased vocal efficiency and ease of phonation. Thus, PTP and OCR were sensitive to the biomolecular changes in acute vocal fold scar. Hyaluronan was more susceptible than collagen to acute tissue ultrastructural alterations. These findings may provide a rationale for increasing hyaluronan in acute vocal fold scar to improve postoperative vocal outcomes.","container-title":"Annals of Otology, Rhinology and Laryngology","DOI":"10.1177/000348940411301001","ISSN":"00034894","issue":"10","page":"767-776","title":"Functional outcomes of reduced hyaluronan in acute vocal fold scar","volume":"113","author":[{"family":"Rousseau","given":"Bernard"},{"family":"Sohn","given":"Jinho"},{"family":"Tateya","given":"Ichiro"},{"family":"Montequin","given":"Douglas W."},{"family":"Bless","given":"Diane M."}],"issued":{"date-parts":[["2004"]]}}},{"id":42,"uris":["http://zotero.org/users/6281125/items/MY29ZTYK"],"uri":["http://zotero.org/users/6281125/items/MY29ZTYK"],"itemData":{"id":42,"type":"article-journal","abstract":"The histologic and functional effects of unilateral, layered corticosteroids on lateral microflap healing in 15 dogs were analyzed. Histologic sections of steroid-treated vocal folds (VFs) were studied with computer morphometry to examine differences in the tissue healing response. Paired analysis revealed increases in the inflammatory infiltrate around the microflap in the steroid-treated VFs at 2, 4, and 6 weeks (6.3%, 30.6%, and 34.9%, all with p \\textless .02). The neovascular response in the steroid-treated VFs was less at 2 weeks (-20.9%, p \\textless .005) but greater at 4 and 6 weeks (16.3% and 4.3%, p \\textless .005). To better characterize the effect of steroids on the healing process, a normal, time-dependent distribution was applied to the histologic data and demonstrated a delay in the steroid-treated VF tissue response of 12 days for the inflammatory infiltrate and 21 days for the neovascular response. Qualitative and quantitative analysis of in vivo laryngeal videostroboscopy (LVS) samples taken preoperatively and at sacrifice could not identify significant differences in appearance, amplitude, mucosal wave, or suppleness between the 2 VFs. Therefore, although corticosteroids cause a delay in wound healing, LVS does not discern differences in microflap characteristics between healing steroid-treated and control VFs at 2, 4, or 6 weeks. If steroids are used, the surgeon should account for a probable delay in wound healing, but should not expect an overall difference in functional outcome.","container-title":"Annals of Otology, Rhinology and Laryngology","DOI":"10.1177/000348949910800203","ISSN":"00034894","issue":"2","page":"119-217 Aquaporin deletion in mice reduces intraocular pressure and aqueous fluid production","title":"Histomorphometric and laryngeal videostroboscopic analysis of the effects of corticosteroids on microflap healing in the dog larynx","volume":"108","author":[{"family":"Smith","given":"Shane"},{"family":"Ossoff","given":"Jacob P."},{"family":"Coleman","given":"John R."},{"family":"Reinisch","given":"Lou"},{"family":"Deriso","given":"Walter"},{"family":"Billante","given":"Cheryl R."},{"family":"Garrett","given":"C. Gaelyn"}],"issued":{"date-parts":[["1999"]]}}}],"schema":"https://github.com/citation-style-language/schema/raw/master/csl-citation.json"} </w:instrText>
      </w:r>
      <w:r w:rsidRPr="00C36F25">
        <w:fldChar w:fldCharType="separate"/>
      </w:r>
      <w:r w:rsidR="00DA7707" w:rsidRPr="00DA7707">
        <w:rPr>
          <w:vertAlign w:val="superscript"/>
        </w:rPr>
        <w:t>88,90,213–217</w:t>
      </w:r>
      <w:r w:rsidRPr="00C36F25">
        <w:fldChar w:fldCharType="end"/>
      </w:r>
      <w:r w:rsidRPr="00A37721">
        <w:t xml:space="preserve"> </w:t>
      </w:r>
    </w:p>
    <w:p w14:paraId="7F95ED36" w14:textId="77777777" w:rsidR="008D68E2" w:rsidRPr="008D68E2" w:rsidRDefault="008D68E2" w:rsidP="008D68E2"/>
    <w:p w14:paraId="5B237652" w14:textId="472251E6" w:rsidR="007F6251" w:rsidRDefault="00A042C3" w:rsidP="00A042C3">
      <w:pPr>
        <w:pStyle w:val="Heading1"/>
      </w:pPr>
      <w:bookmarkStart w:id="57" w:name="_Toc88218528"/>
      <w:r>
        <w:t>Methodology</w:t>
      </w:r>
      <w:bookmarkEnd w:id="57"/>
      <w:r>
        <w:t xml:space="preserve"> </w:t>
      </w:r>
    </w:p>
    <w:p w14:paraId="365214D5" w14:textId="12E32254" w:rsidR="00A95AA5" w:rsidRDefault="0082219F" w:rsidP="00A95AA5">
      <w:pPr>
        <w:pStyle w:val="Heading2"/>
      </w:pPr>
      <w:bookmarkStart w:id="58" w:name="_Toc88218529"/>
      <w:r>
        <w:t>Human Tissue Procurement</w:t>
      </w:r>
      <w:bookmarkEnd w:id="58"/>
      <w:r>
        <w:t xml:space="preserve"> </w:t>
      </w:r>
    </w:p>
    <w:p w14:paraId="2EA8B42D" w14:textId="32DDF9DD" w:rsidR="00DD6710" w:rsidRPr="00DD6710" w:rsidRDefault="00DD6710" w:rsidP="00A70EAB">
      <w:r w:rsidRPr="00152C8F">
        <w:t>Five human donor larynges (1 Male; 4 Female) ranging from 27 to 83 years of age (</w:t>
      </w:r>
      <w:r w:rsidR="003767BA" w:rsidRPr="003767BA">
        <w:t>x̄</w:t>
      </w:r>
      <w:r>
        <w:rPr>
          <w:i/>
        </w:rPr>
        <w:t xml:space="preserve"> </w:t>
      </w:r>
      <w:r w:rsidRPr="00152C8F">
        <w:rPr>
          <w:i/>
        </w:rPr>
        <w:t xml:space="preserve"> </w:t>
      </w:r>
      <w:r w:rsidRPr="00152C8F">
        <w:t>=</w:t>
      </w:r>
      <w:r>
        <w:t xml:space="preserve"> </w:t>
      </w:r>
      <w:r w:rsidRPr="00152C8F">
        <w:t>52</w:t>
      </w:r>
      <w:r w:rsidR="003767BA" w:rsidRPr="00DF0C5E">
        <w:rPr>
          <w:iCs/>
        </w:rPr>
        <w:t>;</w:t>
      </w:r>
      <w:r w:rsidRPr="00152C8F">
        <w:rPr>
          <w:i/>
        </w:rPr>
        <w:t xml:space="preserve"> </w:t>
      </w:r>
      <w:r w:rsidR="003767BA">
        <w:rPr>
          <w:iCs/>
        </w:rPr>
        <w:t>SD</w:t>
      </w:r>
      <w:r w:rsidRPr="00152C8F">
        <w:rPr>
          <w:i/>
        </w:rPr>
        <w:t xml:space="preserve"> = </w:t>
      </w:r>
      <w:r w:rsidRPr="00152C8F">
        <w:t>23.8) were procured by pathologists from the Cooperative Human Tissue Network. The samples were harvested within 24</w:t>
      </w:r>
      <w:r w:rsidR="00A1201C">
        <w:t>-</w:t>
      </w:r>
      <w:r w:rsidRPr="00152C8F">
        <w:t xml:space="preserve">hours of each donor’s death and transported to Vanderbilt University Medical Center (Nashville, TN). Each VF was determined to be healthy and absent of any gross tissue abnormalities by an </w:t>
      </w:r>
      <w:r w:rsidR="00A67687">
        <w:t>o</w:t>
      </w:r>
      <w:r w:rsidRPr="00152C8F">
        <w:t xml:space="preserve">tolaryngologist. The left VF from each specimen was mounted and flash-frozen in </w:t>
      </w:r>
      <w:r w:rsidRPr="00152C8F">
        <w:rPr>
          <w:color w:val="000000" w:themeColor="text1"/>
        </w:rPr>
        <w:t>Optimal Cutting Temperature (OCT) compound.</w:t>
      </w:r>
      <w:r w:rsidRPr="00152C8F">
        <w:t xml:space="preserve"> </w:t>
      </w:r>
    </w:p>
    <w:p w14:paraId="34018D90" w14:textId="5F9D98FA" w:rsidR="00DD6710" w:rsidRDefault="00DD6710">
      <w:pPr>
        <w:pStyle w:val="Heading2"/>
      </w:pPr>
      <w:bookmarkStart w:id="59" w:name="_Toc88218530"/>
      <w:r>
        <w:t xml:space="preserve">Animal Surgical </w:t>
      </w:r>
      <w:r w:rsidR="0047053E">
        <w:t>Procedures</w:t>
      </w:r>
      <w:bookmarkEnd w:id="59"/>
      <w:r>
        <w:t xml:space="preserve"> </w:t>
      </w:r>
    </w:p>
    <w:p w14:paraId="7E9AD78C" w14:textId="23BBF015" w:rsidR="00420BD0" w:rsidRDefault="0047053E" w:rsidP="00420BD0">
      <w:r w:rsidRPr="00152C8F">
        <w:t xml:space="preserve">A total of 65 </w:t>
      </w:r>
      <w:r w:rsidR="005B7C33">
        <w:t xml:space="preserve">male </w:t>
      </w:r>
      <w:r w:rsidRPr="00152C8F">
        <w:t>New Zealand white rabbits weighing 2.6 to 3.6 kg (</w:t>
      </w:r>
      <w:r w:rsidR="003767BA" w:rsidRPr="003767BA">
        <w:t>x̄</w:t>
      </w:r>
      <w:r w:rsidRPr="00152C8F">
        <w:t xml:space="preserve"> = 2.97; SD = 0.22) were used for these experiments.</w:t>
      </w:r>
      <w:r w:rsidRPr="00420BD0">
        <w:t xml:space="preserve"> </w:t>
      </w:r>
      <w:bookmarkStart w:id="60" w:name="_Hlk86052897"/>
      <w:r w:rsidRPr="00420BD0">
        <w:t>All procedures in these experiments were approved by the Vanderbilt Institutional Review Board, #170371, and by the University of Pittsburgh Institutional Animal Care and Use Committee</w:t>
      </w:r>
      <w:r w:rsidR="00F43D2D" w:rsidRPr="00420BD0">
        <w:t xml:space="preserve"> Institutional Review Board</w:t>
      </w:r>
      <w:r w:rsidR="006225A3" w:rsidRPr="00420BD0">
        <w:t xml:space="preserve">, </w:t>
      </w:r>
      <w:r w:rsidR="004E402A" w:rsidRPr="00420BD0">
        <w:t>#417962</w:t>
      </w:r>
      <w:r w:rsidR="00485D23">
        <w:t xml:space="preserve"> and</w:t>
      </w:r>
      <w:r w:rsidR="00F43D2D">
        <w:t xml:space="preserve"> in compliance with the Animal Welfare Act</w:t>
      </w:r>
      <w:r w:rsidR="00DE12E6">
        <w:t xml:space="preserve"> and Guide for the Care and Use of Laboratory Animals</w:t>
      </w:r>
      <w:r w:rsidR="0063513F">
        <w:fldChar w:fldCharType="begin"/>
      </w:r>
      <w:r w:rsidR="00DA7707">
        <w:instrText xml:space="preserve"> ADDIN ZOTERO_ITEM CSL_CITATION {"citationID":"tuucEZHK","properties":{"formattedCitation":"\\super 218\\nosupersub{}","plainCitation":"218","noteIndex":0},"citationItems":[{"id":2598,"uris":["http://zotero.org/users/6281125/items/BSBCXQ99"],"uri":["http://zotero.org/users/6281125/items/BSBCXQ99"],"itemData":{"id":2598,"type":"book","note":"issue: 86","publisher":"US Department of Health and Human Services, Public Health Service, National …","title":"Guide for the care and use of laboratory animals","author":[{"literal":"Institute of Laboratory Animal Resources (US). Committee on Care"},{"literal":"Use of Laboratory Animals"}],"issued":{"date-parts":[["1986"]]}}}],"schema":"https://github.com/citation-style-language/schema/raw/master/csl-citation.json"} </w:instrText>
      </w:r>
      <w:r w:rsidR="0063513F">
        <w:fldChar w:fldCharType="separate"/>
      </w:r>
      <w:r w:rsidR="00DA7707" w:rsidRPr="00DA7707">
        <w:rPr>
          <w:vertAlign w:val="superscript"/>
        </w:rPr>
        <w:t>218</w:t>
      </w:r>
      <w:r w:rsidR="0063513F">
        <w:fldChar w:fldCharType="end"/>
      </w:r>
    </w:p>
    <w:p w14:paraId="1C8309BF" w14:textId="003E18EC" w:rsidR="00420BD0" w:rsidRDefault="00420BD0" w:rsidP="00420BD0">
      <w:pPr>
        <w:pStyle w:val="Heading3"/>
      </w:pPr>
      <w:bookmarkStart w:id="61" w:name="_Toc88218531"/>
      <w:bookmarkEnd w:id="60"/>
      <w:r>
        <w:t>Intramuscular Injections</w:t>
      </w:r>
      <w:bookmarkEnd w:id="61"/>
    </w:p>
    <w:p w14:paraId="694EC17E" w14:textId="03909650" w:rsidR="00420BD0" w:rsidRPr="00420BD0" w:rsidRDefault="002B6D20" w:rsidP="00485D23">
      <w:r>
        <w:t>Forty-five</w:t>
      </w:r>
      <w:r w:rsidR="00420BD0" w:rsidRPr="00152C8F">
        <w:t xml:space="preserve"> rabbits</w:t>
      </w:r>
      <w:r w:rsidR="003B444E">
        <w:t xml:space="preserve"> w</w:t>
      </w:r>
      <w:r>
        <w:t>ere</w:t>
      </w:r>
      <w:r w:rsidR="003B444E">
        <w:t xml:space="preserve"> randomized to</w:t>
      </w:r>
      <w:r w:rsidR="00420BD0" w:rsidRPr="00152C8F">
        <w:t xml:space="preserve"> receive</w:t>
      </w:r>
      <w:r w:rsidR="003D6968">
        <w:t xml:space="preserve"> intramuscular</w:t>
      </w:r>
      <w:r w:rsidR="00420BD0" w:rsidRPr="00152C8F">
        <w:t xml:space="preserve"> injections to the iliocostalis/longissimus muscle of 4.5mg of methylprednisolone (n</w:t>
      </w:r>
      <w:r w:rsidR="00485D23">
        <w:t xml:space="preserve"> </w:t>
      </w:r>
      <w:r w:rsidR="00420BD0" w:rsidRPr="00152C8F">
        <w:t>= 15), 450µg of dexamethasone (n = 15), or volume matched saline (n</w:t>
      </w:r>
      <w:r w:rsidR="00485D23">
        <w:t xml:space="preserve"> </w:t>
      </w:r>
      <w:r w:rsidR="00420BD0" w:rsidRPr="00152C8F">
        <w:t xml:space="preserve">= 15) for </w:t>
      </w:r>
      <w:r w:rsidR="00420BD0">
        <w:t>six</w:t>
      </w:r>
      <w:r w:rsidR="00420BD0" w:rsidRPr="00152C8F">
        <w:t xml:space="preserve"> consecutive days. Doses were based on the typical dosing range for GC intramuscular injections, which are between 1-9 mg for dexamethasone</w:t>
      </w:r>
      <w:r w:rsidR="00420BD0" w:rsidRPr="00152C8F">
        <w:fldChar w:fldCharType="begin"/>
      </w:r>
      <w:r w:rsidR="00DA7707">
        <w:instrText xml:space="preserve"> ADDIN ZOTERO_ITEM CSL_CITATION {"citationID":"PQq1pcuW","properties":{"formattedCitation":"\\super 219\\nosupersub{}","plainCitation":"219","noteIndex":0},"citationItems":[{"id":2283,"uris":["http://zotero.org/users/6281125/items/XRNNW4ZY"],"uri":["http://zotero.org/users/6281125/items/XRNNW4ZY"],"itemData":{"id":2283,"type":"webpage","title":"Dexamethasone 4 mg tablets - Summary of Product Characteristics (SmPC) - (emc)","URL":"https://www.medicines.org.uk/emc/product/7395/smpc#gref","accessed":{"date-parts":[["2020",12,7]]}}}],"schema":"https://github.com/citation-style-language/schema/raw/master/csl-citation.json"} </w:instrText>
      </w:r>
      <w:r w:rsidR="00420BD0" w:rsidRPr="00152C8F">
        <w:fldChar w:fldCharType="separate"/>
      </w:r>
      <w:r w:rsidR="00DA7707" w:rsidRPr="00DA7707">
        <w:rPr>
          <w:vertAlign w:val="superscript"/>
        </w:rPr>
        <w:t>219</w:t>
      </w:r>
      <w:r w:rsidR="00420BD0" w:rsidRPr="00152C8F">
        <w:fldChar w:fldCharType="end"/>
      </w:r>
      <w:r w:rsidR="00420BD0" w:rsidRPr="00152C8F">
        <w:t xml:space="preserve"> and 10-90 mg for methylprednisolone.</w:t>
      </w:r>
      <w:r w:rsidR="00420BD0" w:rsidRPr="00152C8F">
        <w:fldChar w:fldCharType="begin"/>
      </w:r>
      <w:r w:rsidR="00DA7707">
        <w:instrText xml:space="preserve"> ADDIN ZOTERO_ITEM CSL_CITATION {"citationID":"Ov2gTTjN","properties":{"formattedCitation":"\\super 220\\nosupersub{}","plainCitation":"220","noteIndex":0},"citationItems":[{"id":2285,"uris":["http://zotero.org/users/6281125/items/63T8A3JZ"],"uri":["http://zotero.org/users/6281125/items/63T8A3JZ"],"itemData":{"id":2285,"type":"webpage","title":"Methylprednisolone Dosage Guide with Precautions - Drugs.com","URL":"https://www.drugs.com/dosage/methylprednisolone.html","accessed":{"date-parts":[["2020",12,7]]}}}],"schema":"https://github.com/citation-style-language/schema/raw/master/csl-citation.json"} </w:instrText>
      </w:r>
      <w:r w:rsidR="00420BD0" w:rsidRPr="00152C8F">
        <w:fldChar w:fldCharType="separate"/>
      </w:r>
      <w:r w:rsidR="00DA7707" w:rsidRPr="00DA7707">
        <w:rPr>
          <w:vertAlign w:val="superscript"/>
        </w:rPr>
        <w:t>220</w:t>
      </w:r>
      <w:r w:rsidR="00420BD0" w:rsidRPr="00152C8F">
        <w:fldChar w:fldCharType="end"/>
      </w:r>
      <w:r w:rsidR="00420BD0" w:rsidRPr="00152C8F">
        <w:t xml:space="preserve"> Based on these standard human doses for each drug, the dose for rabbits was calculated based on weight (human: 60 kg, rabbit: 3 kg). </w:t>
      </w:r>
    </w:p>
    <w:p w14:paraId="0998C0DB" w14:textId="5A545464" w:rsidR="00462BE0" w:rsidRDefault="00462BE0" w:rsidP="00DA29E4">
      <w:pPr>
        <w:pStyle w:val="Heading3"/>
      </w:pPr>
      <w:bookmarkStart w:id="62" w:name="_Toc88218532"/>
      <w:r>
        <w:t>Intracordal Injection</w:t>
      </w:r>
      <w:bookmarkEnd w:id="62"/>
    </w:p>
    <w:p w14:paraId="157861C8" w14:textId="6EB2D5F1" w:rsidR="00D13E07" w:rsidRDefault="009912F8" w:rsidP="00D13E07">
      <w:pPr>
        <w:rPr>
          <w:color w:val="000000"/>
          <w:shd w:val="clear" w:color="auto" w:fill="FFFFFF"/>
        </w:rPr>
      </w:pPr>
      <w:r>
        <w:rPr>
          <w:color w:val="000000"/>
          <w:shd w:val="clear" w:color="auto" w:fill="FFFFFF"/>
        </w:rPr>
        <w:t>An additional</w:t>
      </w:r>
      <w:r w:rsidR="00AB6C27" w:rsidRPr="00152C8F">
        <w:rPr>
          <w:color w:val="000000"/>
          <w:shd w:val="clear" w:color="auto" w:fill="FFFFFF"/>
        </w:rPr>
        <w:t xml:space="preserve"> 10 rabbits </w:t>
      </w:r>
      <w:r w:rsidR="0091427B">
        <w:rPr>
          <w:color w:val="000000"/>
          <w:shd w:val="clear" w:color="auto" w:fill="FFFFFF"/>
        </w:rPr>
        <w:t>w</w:t>
      </w:r>
      <w:r>
        <w:rPr>
          <w:color w:val="000000"/>
          <w:shd w:val="clear" w:color="auto" w:fill="FFFFFF"/>
        </w:rPr>
        <w:t>ere</w:t>
      </w:r>
      <w:r w:rsidR="00AB6C27" w:rsidRPr="00152C8F">
        <w:rPr>
          <w:color w:val="000000"/>
          <w:shd w:val="clear" w:color="auto" w:fill="FFFFFF"/>
        </w:rPr>
        <w:t xml:space="preserve"> sedated with intravenous</w:t>
      </w:r>
      <w:r w:rsidR="009608E4">
        <w:rPr>
          <w:color w:val="000000"/>
          <w:shd w:val="clear" w:color="auto" w:fill="FFFFFF"/>
        </w:rPr>
        <w:t xml:space="preserve"> (IV)</w:t>
      </w:r>
      <w:r w:rsidR="00AB6C27" w:rsidRPr="00152C8F">
        <w:rPr>
          <w:color w:val="000000"/>
          <w:shd w:val="clear" w:color="auto" w:fill="FFFFFF"/>
        </w:rPr>
        <w:t xml:space="preserve"> ketamine (</w:t>
      </w:r>
      <w:r w:rsidR="00BA20C2">
        <w:rPr>
          <w:color w:val="000000"/>
          <w:shd w:val="clear" w:color="auto" w:fill="FFFFFF"/>
        </w:rPr>
        <w:t>0.06</w:t>
      </w:r>
      <w:r w:rsidR="00AB6C27">
        <w:rPr>
          <w:color w:val="000000"/>
          <w:shd w:val="clear" w:color="auto" w:fill="FFFFFF"/>
        </w:rPr>
        <w:t xml:space="preserve"> mg/kg</w:t>
      </w:r>
      <w:r w:rsidR="00AB6C27" w:rsidRPr="00152C8F">
        <w:rPr>
          <w:color w:val="000000"/>
          <w:shd w:val="clear" w:color="auto" w:fill="FFFFFF"/>
        </w:rPr>
        <w:t xml:space="preserve">) and </w:t>
      </w:r>
      <w:r w:rsidR="00AB6C27" w:rsidRPr="00152C8F">
        <w:t>dexmedetomidine (</w:t>
      </w:r>
      <w:r w:rsidR="00BA20C2">
        <w:t>7.5 mg/kg</w:t>
      </w:r>
      <w:r w:rsidR="00AB6C27" w:rsidRPr="00152C8F">
        <w:t>)</w:t>
      </w:r>
      <w:r w:rsidR="00AB6C27" w:rsidRPr="00152C8F">
        <w:rPr>
          <w:color w:val="000000"/>
          <w:shd w:val="clear" w:color="auto" w:fill="FFFFFF"/>
        </w:rPr>
        <w:t xml:space="preserve"> via the marginal ear vein. </w:t>
      </w:r>
      <w:r w:rsidR="00AB6C27" w:rsidRPr="00152C8F">
        <w:t>Once sedated, the animals were placed on the surgical platform in the supine position and shaved from the submentum down to the chest</w:t>
      </w:r>
      <w:r w:rsidR="00AB6C27" w:rsidRPr="00152C8F">
        <w:rPr>
          <w:color w:val="000000"/>
          <w:shd w:val="clear" w:color="auto" w:fill="FFFFFF"/>
        </w:rPr>
        <w:t xml:space="preserve">. Artificial tears were applied to the eyes to prevent drying and the eyes were taped closed. </w:t>
      </w:r>
      <w:r w:rsidR="00AB6C27" w:rsidRPr="00152C8F">
        <w:t xml:space="preserve">Heart rate, blood pressure, respiratory rate, body temperature, and spot oxygen saturation (SpO2) were monitored </w:t>
      </w:r>
      <w:r w:rsidR="00AB6C27" w:rsidRPr="00152C8F">
        <w:rPr>
          <w:color w:val="000000"/>
          <w:shd w:val="clear" w:color="auto" w:fill="FFFFFF"/>
        </w:rPr>
        <w:t>every 15</w:t>
      </w:r>
      <w:r w:rsidR="00BF1AB1">
        <w:rPr>
          <w:color w:val="000000"/>
          <w:shd w:val="clear" w:color="auto" w:fill="FFFFFF"/>
        </w:rPr>
        <w:t>-</w:t>
      </w:r>
      <w:r w:rsidR="00AB6C27" w:rsidRPr="00152C8F">
        <w:rPr>
          <w:color w:val="000000"/>
          <w:shd w:val="clear" w:color="auto" w:fill="FFFFFF"/>
        </w:rPr>
        <w:t xml:space="preserve">minutes throughout the procedure. The neck was sterilized with a minimum of </w:t>
      </w:r>
      <w:r w:rsidR="00BF1AB1">
        <w:rPr>
          <w:color w:val="000000"/>
          <w:shd w:val="clear" w:color="auto" w:fill="FFFFFF"/>
        </w:rPr>
        <w:t>three</w:t>
      </w:r>
      <w:r w:rsidR="00AB6C27" w:rsidRPr="00152C8F">
        <w:rPr>
          <w:color w:val="000000"/>
          <w:shd w:val="clear" w:color="auto" w:fill="FFFFFF"/>
        </w:rPr>
        <w:t xml:space="preserve"> applications of iodine and isopropyl alcohol. At this point, the lead surgeon observed </w:t>
      </w:r>
      <w:r w:rsidR="004C425E">
        <w:rPr>
          <w:color w:val="000000"/>
          <w:shd w:val="clear" w:color="auto" w:fill="FFFFFF"/>
        </w:rPr>
        <w:t xml:space="preserve">an </w:t>
      </w:r>
      <w:r w:rsidR="00AB6C27" w:rsidRPr="00152C8F">
        <w:rPr>
          <w:color w:val="000000"/>
          <w:shd w:val="clear" w:color="auto" w:fill="FFFFFF"/>
        </w:rPr>
        <w:t xml:space="preserve">aseptic technique to ensure a sterile field. A </w:t>
      </w:r>
      <w:r w:rsidR="00953063" w:rsidRPr="00152C8F">
        <w:t>p</w:t>
      </w:r>
      <w:r w:rsidR="00953063" w:rsidRPr="00152C8F">
        <w:rPr>
          <w:color w:val="000000"/>
          <w:shd w:val="clear" w:color="auto" w:fill="FFFFFF"/>
        </w:rPr>
        <w:t>ediatric laryngoscope</w:t>
      </w:r>
      <w:r w:rsidR="00953063">
        <w:rPr>
          <w:color w:val="000000"/>
          <w:shd w:val="clear" w:color="auto" w:fill="FFFFFF"/>
        </w:rPr>
        <w:t xml:space="preserve"> and</w:t>
      </w:r>
      <w:r w:rsidR="00953063" w:rsidRPr="00152C8F">
        <w:t xml:space="preserve"> </w:t>
      </w:r>
      <w:r w:rsidR="00AB6C27" w:rsidRPr="00152C8F">
        <w:t>0°</w:t>
      </w:r>
      <w:r w:rsidR="00BA20C2">
        <w:t xml:space="preserve"> </w:t>
      </w:r>
      <w:r w:rsidR="00AB6C27" w:rsidRPr="00152C8F">
        <w:t>4</w:t>
      </w:r>
      <w:r w:rsidR="00BF1AB1">
        <w:t>-</w:t>
      </w:r>
      <w:r w:rsidR="00AB6C27" w:rsidRPr="00152C8F">
        <w:t xml:space="preserve">mm rigid </w:t>
      </w:r>
      <w:r w:rsidR="00953063">
        <w:t xml:space="preserve">endoscope </w:t>
      </w:r>
      <w:r w:rsidR="00AB6C27" w:rsidRPr="00152C8F">
        <w:rPr>
          <w:color w:val="000000"/>
          <w:shd w:val="clear" w:color="auto" w:fill="FFFFFF"/>
        </w:rPr>
        <w:t xml:space="preserve">was inserted into the mouth by the non-sterile assisting surgeon to visualize the </w:t>
      </w:r>
      <w:r w:rsidR="00BF1AB1">
        <w:rPr>
          <w:color w:val="000000"/>
          <w:shd w:val="clear" w:color="auto" w:fill="FFFFFF"/>
        </w:rPr>
        <w:t>VFs</w:t>
      </w:r>
      <w:r w:rsidR="00AB6C27" w:rsidRPr="00152C8F">
        <w:rPr>
          <w:color w:val="000000"/>
          <w:shd w:val="clear" w:color="auto" w:fill="FFFFFF"/>
        </w:rPr>
        <w:t xml:space="preserve">. Five rabbits </w:t>
      </w:r>
      <w:r w:rsidR="00D65427">
        <w:rPr>
          <w:color w:val="000000"/>
          <w:shd w:val="clear" w:color="auto" w:fill="FFFFFF"/>
        </w:rPr>
        <w:t xml:space="preserve">were randomized to </w:t>
      </w:r>
      <w:r w:rsidR="003B444E" w:rsidRPr="00152C8F">
        <w:rPr>
          <w:color w:val="000000"/>
          <w:shd w:val="clear" w:color="auto" w:fill="FFFFFF"/>
        </w:rPr>
        <w:t>receive</w:t>
      </w:r>
      <w:r w:rsidR="00AB6C27" w:rsidRPr="00152C8F">
        <w:rPr>
          <w:color w:val="000000"/>
          <w:shd w:val="clear" w:color="auto" w:fill="FFFFFF"/>
        </w:rPr>
        <w:t xml:space="preserve"> bilateral </w:t>
      </w:r>
      <w:r w:rsidR="007857FC" w:rsidRPr="00152C8F">
        <w:rPr>
          <w:color w:val="000000"/>
          <w:shd w:val="clear" w:color="auto" w:fill="FFFFFF"/>
        </w:rPr>
        <w:t xml:space="preserve">percutaneous </w:t>
      </w:r>
      <w:r w:rsidR="00AB6C27" w:rsidRPr="00152C8F">
        <w:rPr>
          <w:color w:val="000000"/>
          <w:shd w:val="clear" w:color="auto" w:fill="FFFFFF"/>
        </w:rPr>
        <w:t>VF injection with either 40µl of dexamethasone (10 mg/ml) or volume matched saline</w:t>
      </w:r>
      <w:r w:rsidR="007857FC">
        <w:rPr>
          <w:color w:val="000000"/>
          <w:shd w:val="clear" w:color="auto" w:fill="FFFFFF"/>
        </w:rPr>
        <w:t xml:space="preserve"> using</w:t>
      </w:r>
      <w:r w:rsidR="00AB6C27" w:rsidRPr="00152C8F">
        <w:rPr>
          <w:color w:val="000000"/>
          <w:shd w:val="clear" w:color="auto" w:fill="FFFFFF"/>
        </w:rPr>
        <w:t xml:space="preserve"> a 30-gauge Exel Comfort Point Micro Syringe </w:t>
      </w:r>
      <w:r w:rsidR="00526D57">
        <w:rPr>
          <w:color w:val="000000"/>
          <w:shd w:val="clear" w:color="auto" w:fill="FFFFFF"/>
        </w:rPr>
        <w:t>ut</w:t>
      </w:r>
      <w:r w:rsidR="00953063">
        <w:rPr>
          <w:color w:val="000000"/>
          <w:shd w:val="clear" w:color="auto" w:fill="FFFFFF"/>
        </w:rPr>
        <w:t>i</w:t>
      </w:r>
      <w:r w:rsidR="00526D57">
        <w:rPr>
          <w:color w:val="000000"/>
          <w:shd w:val="clear" w:color="auto" w:fill="FFFFFF"/>
        </w:rPr>
        <w:t>lizing</w:t>
      </w:r>
      <w:r w:rsidR="00AB6C27" w:rsidRPr="00152C8F">
        <w:rPr>
          <w:color w:val="000000"/>
          <w:shd w:val="clear" w:color="auto" w:fill="FFFFFF"/>
        </w:rPr>
        <w:t xml:space="preserve"> the </w:t>
      </w:r>
      <w:r w:rsidR="00953063">
        <w:rPr>
          <w:color w:val="000000"/>
          <w:shd w:val="clear" w:color="auto" w:fill="FFFFFF"/>
        </w:rPr>
        <w:t>t</w:t>
      </w:r>
      <w:r w:rsidR="00AB6C27" w:rsidRPr="00152C8F">
        <w:rPr>
          <w:color w:val="000000"/>
          <w:shd w:val="clear" w:color="auto" w:fill="FFFFFF"/>
        </w:rPr>
        <w:t>rans-cricothyroid membrane approach (</w:t>
      </w:r>
      <w:r w:rsidR="0087259E">
        <w:rPr>
          <w:color w:val="000000"/>
          <w:shd w:val="clear" w:color="auto" w:fill="FFFFFF"/>
        </w:rPr>
        <w:t>Figure</w:t>
      </w:r>
      <w:r w:rsidR="007857FC">
        <w:rPr>
          <w:color w:val="000000"/>
          <w:shd w:val="clear" w:color="auto" w:fill="FFFFFF"/>
        </w:rPr>
        <w:t xml:space="preserve"> 13</w:t>
      </w:r>
      <w:r w:rsidR="00AB6C27" w:rsidRPr="00152C8F">
        <w:rPr>
          <w:color w:val="000000"/>
          <w:shd w:val="clear" w:color="auto" w:fill="FFFFFF"/>
        </w:rPr>
        <w:t xml:space="preserve">). Once the injections were complete, rabbits received </w:t>
      </w:r>
      <w:r w:rsidR="004C425E">
        <w:rPr>
          <w:color w:val="000000"/>
          <w:shd w:val="clear" w:color="auto" w:fill="FFFFFF"/>
        </w:rPr>
        <w:t xml:space="preserve">an </w:t>
      </w:r>
      <w:r w:rsidR="00AB6C27" w:rsidRPr="00152C8F">
        <w:rPr>
          <w:color w:val="000000"/>
          <w:shd w:val="clear" w:color="auto" w:fill="FFFFFF"/>
        </w:rPr>
        <w:t xml:space="preserve">IV injection of </w:t>
      </w:r>
      <w:r w:rsidR="009B41D5" w:rsidRPr="009B41D5">
        <w:rPr>
          <w:color w:val="000000"/>
          <w:shd w:val="clear" w:color="auto" w:fill="FFFFFF"/>
        </w:rPr>
        <w:t>Atipamezole</w:t>
      </w:r>
      <w:r w:rsidR="00AB6C27" w:rsidRPr="00152C8F">
        <w:rPr>
          <w:color w:val="000000"/>
          <w:shd w:val="clear" w:color="auto" w:fill="FFFFFF"/>
        </w:rPr>
        <w:t xml:space="preserve"> (</w:t>
      </w:r>
      <w:r w:rsidR="005C1DEC">
        <w:rPr>
          <w:color w:val="000000"/>
          <w:shd w:val="clear" w:color="auto" w:fill="FFFFFF"/>
        </w:rPr>
        <w:t>0.5 mg/kg</w:t>
      </w:r>
      <w:r w:rsidR="00AB6C27" w:rsidRPr="00152C8F">
        <w:rPr>
          <w:color w:val="000000"/>
          <w:shd w:val="clear" w:color="auto" w:fill="FFFFFF"/>
        </w:rPr>
        <w:t>) and were recovered and returned to their cage</w:t>
      </w:r>
      <w:r w:rsidR="00511C30">
        <w:rPr>
          <w:color w:val="000000"/>
          <w:shd w:val="clear" w:color="auto" w:fill="FFFFFF"/>
        </w:rPr>
        <w:t>.</w:t>
      </w:r>
    </w:p>
    <w:p w14:paraId="63696624" w14:textId="77777777" w:rsidR="00D13E07" w:rsidRDefault="00D13E07" w:rsidP="00D13E07">
      <w:pPr>
        <w:rPr>
          <w:color w:val="000000"/>
          <w:shd w:val="clear" w:color="auto" w:fill="FFFFFF"/>
        </w:rPr>
      </w:pPr>
    </w:p>
    <w:p w14:paraId="50B7C401" w14:textId="77777777" w:rsidR="00D13E07" w:rsidRDefault="007B2646" w:rsidP="00D13E07">
      <w:pPr>
        <w:keepNext/>
        <w:ind w:firstLine="0"/>
        <w:jc w:val="center"/>
      </w:pPr>
      <w:r w:rsidRPr="007B2646">
        <w:rPr>
          <w:b/>
          <w:bCs/>
          <w:noProof/>
        </w:rPr>
        <w:drawing>
          <wp:inline distT="0" distB="0" distL="0" distR="0" wp14:anchorId="53D47D0F" wp14:editId="4E253F6E">
            <wp:extent cx="2371426" cy="2711938"/>
            <wp:effectExtent l="19050" t="19050" r="10160" b="12700"/>
            <wp:docPr id="5" name="Picture 4" descr="Diagram&#10;&#10;Description automatically generated">
              <a:extLst xmlns:a="http://schemas.openxmlformats.org/drawingml/2006/main">
                <a:ext uri="{FF2B5EF4-FFF2-40B4-BE49-F238E27FC236}">
                  <a16:creationId xmlns:a16="http://schemas.microsoft.com/office/drawing/2014/main" id="{238A253E-8449-4E3C-AB40-6B229D4C1B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238A253E-8449-4E3C-AB40-6B229D4C1B18}"/>
                        </a:ext>
                      </a:extLst>
                    </pic:cNvPr>
                    <pic:cNvPicPr>
                      <a:picLocks noChangeAspect="1"/>
                    </pic:cNvPicPr>
                  </pic:nvPicPr>
                  <pic:blipFill>
                    <a:blip r:embed="rId32"/>
                    <a:stretch>
                      <a:fillRect/>
                    </a:stretch>
                  </pic:blipFill>
                  <pic:spPr>
                    <a:xfrm>
                      <a:off x="0" y="0"/>
                      <a:ext cx="2379845" cy="2721566"/>
                    </a:xfrm>
                    <a:prstGeom prst="rect">
                      <a:avLst/>
                    </a:prstGeom>
                    <a:ln>
                      <a:solidFill>
                        <a:schemeClr val="tx1"/>
                      </a:solidFill>
                    </a:ln>
                  </pic:spPr>
                </pic:pic>
              </a:graphicData>
            </a:graphic>
          </wp:inline>
        </w:drawing>
      </w:r>
    </w:p>
    <w:p w14:paraId="3DD3FBF2" w14:textId="3FAB83B9" w:rsidR="007B2646" w:rsidRPr="00A70EAB" w:rsidRDefault="00D13E07" w:rsidP="00D13E07">
      <w:pPr>
        <w:pStyle w:val="Caption"/>
      </w:pPr>
      <w:bookmarkStart w:id="63" w:name="_Toc88218606"/>
      <w:r>
        <w:t xml:space="preserve">Figure </w:t>
      </w:r>
      <w:r>
        <w:fldChar w:fldCharType="begin"/>
      </w:r>
      <w:r>
        <w:instrText xml:space="preserve"> SEQ Figure \* ARABIC </w:instrText>
      </w:r>
      <w:r>
        <w:fldChar w:fldCharType="separate"/>
      </w:r>
      <w:r w:rsidR="00CD04FC">
        <w:t>13</w:t>
      </w:r>
      <w:r>
        <w:fldChar w:fldCharType="end"/>
      </w:r>
      <w:r>
        <w:t>. Percutaneous VF injection using the trans-cricothyroid</w:t>
      </w:r>
      <w:r w:rsidR="00663DD3">
        <w:t xml:space="preserve"> membrane</w:t>
      </w:r>
      <w:r>
        <w:t xml:space="preserve"> approach</w:t>
      </w:r>
      <w:bookmarkEnd w:id="63"/>
    </w:p>
    <w:p w14:paraId="696DFCC7" w14:textId="556A61A1" w:rsidR="00A70EAB" w:rsidRDefault="00A70EAB" w:rsidP="00C8757C">
      <w:pPr>
        <w:pStyle w:val="Heading3"/>
      </w:pPr>
      <w:bookmarkStart w:id="64" w:name="_Toc88218533"/>
      <w:r>
        <w:t>Rabbit Vocal Fold Tissue Acquisition</w:t>
      </w:r>
      <w:bookmarkEnd w:id="64"/>
    </w:p>
    <w:p w14:paraId="687098AC" w14:textId="43DD1320" w:rsidR="003C20F4" w:rsidRPr="00152C8F" w:rsidRDefault="003C20F4" w:rsidP="003C20F4">
      <w:pPr>
        <w:ind w:right="-15"/>
      </w:pPr>
      <w:r w:rsidRPr="00152C8F">
        <w:t>All rabbits were sedated with ketamine (20 mg/kg) and dexmedetomidine (0.125 mg/kg) via intramuscular injection into the iliocostalis/longissimus muscle. Heart rate, blood pressure, respiratory rate, body temperature, SpO2 were monitored throughout the procedure to assess the animals</w:t>
      </w:r>
      <w:r w:rsidR="004F524B">
        <w:t>’</w:t>
      </w:r>
      <w:r w:rsidRPr="00152C8F">
        <w:t xml:space="preserve"> state of sedation and general well-being. Once sedated, the animal</w:t>
      </w:r>
      <w:r w:rsidR="00FE0601">
        <w:t>s</w:t>
      </w:r>
      <w:r w:rsidRPr="00152C8F">
        <w:t xml:space="preserve"> </w:t>
      </w:r>
      <w:r w:rsidR="00FE0601">
        <w:t>were</w:t>
      </w:r>
      <w:r w:rsidRPr="00152C8F">
        <w:t xml:space="preserve"> placed on the surgical platform in the supine position and shaved from the submentum down to the chest. Lidocaine was subcutaneously injected along the midline of the shaved region to locally anesthetize the incision area. The larynx and trachea were exposed by an incision along the midline from the sternal notch to the hyoid bone. Once the larynx and trachea were exposed, the animal was euthanized via </w:t>
      </w:r>
      <w:r w:rsidR="000E2AB8">
        <w:t>IV</w:t>
      </w:r>
      <w:r w:rsidRPr="00152C8F">
        <w:t xml:space="preserve"> injection of sodium pentobarbital (390 mg/kg). Once euthanized, the entire larynx was excised</w:t>
      </w:r>
      <w:r w:rsidRPr="00152C8F">
        <w:rPr>
          <w:color w:val="A64D79"/>
        </w:rPr>
        <w:t xml:space="preserve"> </w:t>
      </w:r>
      <w:r w:rsidRPr="00152C8F">
        <w:t xml:space="preserve">and hemisected. For the five larynges being used for human comparison, the left half of each larynx was mounted in </w:t>
      </w:r>
      <w:r w:rsidR="009326E8">
        <w:t>OCT</w:t>
      </w:r>
      <w:r w:rsidRPr="00152C8F">
        <w:t xml:space="preserve"> medium</w:t>
      </w:r>
      <w:r w:rsidR="00B30231">
        <w:t>.</w:t>
      </w:r>
    </w:p>
    <w:p w14:paraId="034D1CA0" w14:textId="1ECBB64C" w:rsidR="00F34F68" w:rsidRDefault="003C20F4" w:rsidP="003C20F4">
      <w:pPr>
        <w:ind w:right="-15"/>
      </w:pPr>
      <w:r w:rsidRPr="00152C8F">
        <w:t xml:space="preserve"> </w:t>
      </w:r>
      <w:r>
        <w:t>T</w:t>
      </w:r>
      <w:r w:rsidRPr="00152C8F">
        <w:t>he 45 rabbits receiving intramuscular GC injection</w:t>
      </w:r>
      <w:r>
        <w:t>s</w:t>
      </w:r>
      <w:r w:rsidRPr="00152C8F">
        <w:t xml:space="preserve"> were sedated and euthanized as</w:t>
      </w:r>
      <w:r>
        <w:t xml:space="preserve"> previously</w:t>
      </w:r>
      <w:r w:rsidRPr="00152C8F">
        <w:t xml:space="preserve"> described either 1-day following termination of GC injections (n = 15), 3-days following termination of injections (n =</w:t>
      </w:r>
      <w:r w:rsidR="009326E8">
        <w:t xml:space="preserve"> </w:t>
      </w:r>
      <w:r w:rsidRPr="00152C8F">
        <w:t>15), or 7-days following termination of injections (n = 15)</w:t>
      </w:r>
      <w:r w:rsidR="00522649" w:rsidRPr="00522649">
        <w:t xml:space="preserve"> </w:t>
      </w:r>
      <w:r w:rsidRPr="00152C8F">
        <w:t>Larynges were excised and hemisected, and the right half was fixed in formalin</w:t>
      </w:r>
      <w:r w:rsidR="00573AD1">
        <w:t xml:space="preserve"> for </w:t>
      </w:r>
      <w:r w:rsidR="00447642">
        <w:t>Hematoxylin and Eosin (H&amp;E) staining</w:t>
      </w:r>
      <w:r w:rsidRPr="00152C8F">
        <w:t xml:space="preserve">, and the left half was fresh frozen in OCT medium </w:t>
      </w:r>
      <w:r w:rsidR="00447642">
        <w:t xml:space="preserve">for </w:t>
      </w:r>
      <w:r w:rsidR="00DE33FA">
        <w:t>i</w:t>
      </w:r>
      <w:r w:rsidR="00447642">
        <w:t>mmunolabeling</w:t>
      </w:r>
      <w:r w:rsidR="00C30339">
        <w:t xml:space="preserve"> (Figure 14)</w:t>
      </w:r>
      <w:r w:rsidR="00447642">
        <w:t>.</w:t>
      </w:r>
    </w:p>
    <w:p w14:paraId="1600B365" w14:textId="77777777" w:rsidR="00B5638E" w:rsidRDefault="00B5638E" w:rsidP="003C20F4">
      <w:pPr>
        <w:ind w:right="-15"/>
      </w:pPr>
    </w:p>
    <w:p w14:paraId="5AB96AA9" w14:textId="77777777" w:rsidR="00526A5E" w:rsidRDefault="005F73B7" w:rsidP="00526A5E">
      <w:pPr>
        <w:keepNext/>
        <w:ind w:right="-15" w:firstLine="0"/>
        <w:jc w:val="center"/>
      </w:pPr>
      <w:r>
        <w:rPr>
          <w:noProof/>
        </w:rPr>
        <w:drawing>
          <wp:inline distT="0" distB="0" distL="0" distR="0" wp14:anchorId="0A2226B5" wp14:editId="67F293BC">
            <wp:extent cx="5767433" cy="4188998"/>
            <wp:effectExtent l="19050" t="19050" r="24130" b="215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01695" cy="4213883"/>
                    </a:xfrm>
                    <a:prstGeom prst="rect">
                      <a:avLst/>
                    </a:prstGeom>
                    <a:noFill/>
                    <a:ln>
                      <a:solidFill>
                        <a:schemeClr val="tx1"/>
                      </a:solidFill>
                    </a:ln>
                  </pic:spPr>
                </pic:pic>
              </a:graphicData>
            </a:graphic>
          </wp:inline>
        </w:drawing>
      </w:r>
    </w:p>
    <w:p w14:paraId="04B697B2" w14:textId="184D0544" w:rsidR="00B5638E" w:rsidRDefault="00526A5E" w:rsidP="00526A5E">
      <w:pPr>
        <w:pStyle w:val="Caption"/>
      </w:pPr>
      <w:bookmarkStart w:id="65" w:name="_Toc88218607"/>
      <w:r>
        <w:t xml:space="preserve">Figure </w:t>
      </w:r>
      <w:r>
        <w:fldChar w:fldCharType="begin"/>
      </w:r>
      <w:r>
        <w:instrText xml:space="preserve"> SEQ Figure \* ARABIC </w:instrText>
      </w:r>
      <w:r>
        <w:fldChar w:fldCharType="separate"/>
      </w:r>
      <w:r w:rsidR="00CD04FC">
        <w:t>14</w:t>
      </w:r>
      <w:r>
        <w:fldChar w:fldCharType="end"/>
      </w:r>
      <w:r w:rsidR="00E02900">
        <w:t>.</w:t>
      </w:r>
      <w:r w:rsidRPr="001A6814">
        <w:t xml:space="preserve"> Schematic of experimental paradigm for rabbits rec</w:t>
      </w:r>
      <w:r w:rsidR="00DE33FA">
        <w:t>ei</w:t>
      </w:r>
      <w:r w:rsidRPr="001A6814">
        <w:t>ving intramuscular injections</w:t>
      </w:r>
      <w:bookmarkEnd w:id="65"/>
    </w:p>
    <w:p w14:paraId="1767E197" w14:textId="77777777" w:rsidR="00B30231" w:rsidRPr="00152C8F" w:rsidRDefault="00B30231" w:rsidP="003C20F4">
      <w:pPr>
        <w:ind w:right="-15"/>
      </w:pPr>
    </w:p>
    <w:p w14:paraId="5AFBC257" w14:textId="77F5407A" w:rsidR="00EB1B68" w:rsidRDefault="003C20F4" w:rsidP="00EB1B68">
      <w:pPr>
        <w:ind w:right="-15"/>
      </w:pPr>
      <w:r w:rsidRPr="00152C8F">
        <w:rPr>
          <w:color w:val="000000" w:themeColor="text1"/>
        </w:rPr>
        <w:t xml:space="preserve">For the </w:t>
      </w:r>
      <w:r w:rsidR="0063408F">
        <w:rPr>
          <w:color w:val="000000" w:themeColor="text1"/>
        </w:rPr>
        <w:t>10</w:t>
      </w:r>
      <w:r w:rsidRPr="00152C8F">
        <w:rPr>
          <w:color w:val="000000" w:themeColor="text1"/>
        </w:rPr>
        <w:t xml:space="preserve"> rabbits receiving intracordal injections, </w:t>
      </w:r>
      <w:r w:rsidR="00DE33FA">
        <w:rPr>
          <w:color w:val="000000" w:themeColor="text1"/>
        </w:rPr>
        <w:t>animals were survived 7</w:t>
      </w:r>
      <w:r w:rsidR="00F019FA">
        <w:rPr>
          <w:color w:val="000000" w:themeColor="text1"/>
        </w:rPr>
        <w:t>-</w:t>
      </w:r>
      <w:r w:rsidR="00DE33FA">
        <w:rPr>
          <w:color w:val="000000" w:themeColor="text1"/>
        </w:rPr>
        <w:t xml:space="preserve">days </w:t>
      </w:r>
      <w:r w:rsidR="00F019FA">
        <w:rPr>
          <w:color w:val="000000" w:themeColor="text1"/>
        </w:rPr>
        <w:t>post</w:t>
      </w:r>
      <w:r w:rsidR="00DE33FA">
        <w:rPr>
          <w:color w:val="000000" w:themeColor="text1"/>
        </w:rPr>
        <w:t xml:space="preserve"> injection</w:t>
      </w:r>
      <w:r w:rsidR="00F019FA">
        <w:rPr>
          <w:color w:val="000000" w:themeColor="text1"/>
        </w:rPr>
        <w:t>s</w:t>
      </w:r>
      <w:r w:rsidR="00DE33FA">
        <w:rPr>
          <w:color w:val="000000" w:themeColor="text1"/>
        </w:rPr>
        <w:t>, and then humanely sacrific</w:t>
      </w:r>
      <w:r w:rsidR="00F019FA">
        <w:rPr>
          <w:color w:val="000000" w:themeColor="text1"/>
        </w:rPr>
        <w:t>ed as</w:t>
      </w:r>
      <w:r w:rsidRPr="00152C8F">
        <w:rPr>
          <w:color w:val="000000" w:themeColor="text1"/>
        </w:rPr>
        <w:t xml:space="preserve"> described </w:t>
      </w:r>
      <w:r>
        <w:rPr>
          <w:color w:val="000000" w:themeColor="text1"/>
        </w:rPr>
        <w:t>previously</w:t>
      </w:r>
      <w:r w:rsidR="000F22A6">
        <w:rPr>
          <w:color w:val="000000" w:themeColor="text1"/>
        </w:rPr>
        <w:t>.</w:t>
      </w:r>
      <w:r w:rsidRPr="00152C8F">
        <w:t xml:space="preserve"> Larynges were excised and hemisected</w:t>
      </w:r>
      <w:r w:rsidR="000F22A6">
        <w:t xml:space="preserve"> (Figure 15</w:t>
      </w:r>
      <w:r w:rsidR="00EB1B68">
        <w:t>)</w:t>
      </w:r>
      <w:r w:rsidRPr="00152C8F">
        <w:t xml:space="preserve">, and the right half was stored in 10% neutral buffered formalin and the </w:t>
      </w:r>
      <w:r w:rsidR="00180E9C">
        <w:t>T</w:t>
      </w:r>
      <w:r w:rsidRPr="00152C8F">
        <w:t>A muscle was placed in RNA</w:t>
      </w:r>
      <w:r w:rsidRPr="009B0650">
        <w:rPr>
          <w:i/>
          <w:iCs/>
        </w:rPr>
        <w:t>later</w:t>
      </w:r>
      <w:r>
        <w:rPr>
          <w:i/>
          <w:iCs/>
        </w:rPr>
        <w:t xml:space="preserve"> </w:t>
      </w:r>
      <w:r w:rsidRPr="00152C8F">
        <w:t>Stabilization Solution™ and stored at -20°C until further processing.</w:t>
      </w:r>
    </w:p>
    <w:p w14:paraId="70F6BD71" w14:textId="77777777" w:rsidR="00EB1B68" w:rsidRDefault="00EB1B68" w:rsidP="00EB1B68">
      <w:pPr>
        <w:ind w:right="-15"/>
      </w:pPr>
    </w:p>
    <w:p w14:paraId="0001EEED" w14:textId="6904C81F" w:rsidR="00EB1B68" w:rsidRDefault="00EE49DF" w:rsidP="00EB1B68">
      <w:pPr>
        <w:keepNext/>
        <w:ind w:right="-15" w:firstLine="0"/>
        <w:jc w:val="center"/>
      </w:pPr>
      <w:r>
        <w:rPr>
          <w:noProof/>
        </w:rPr>
        <w:drawing>
          <wp:inline distT="0" distB="0" distL="0" distR="0" wp14:anchorId="24875EFA" wp14:editId="188E532B">
            <wp:extent cx="5747911" cy="2162908"/>
            <wp:effectExtent l="19050" t="19050" r="24765" b="279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78005" cy="2174232"/>
                    </a:xfrm>
                    <a:prstGeom prst="rect">
                      <a:avLst/>
                    </a:prstGeom>
                    <a:noFill/>
                    <a:ln>
                      <a:solidFill>
                        <a:schemeClr val="tx1"/>
                      </a:solidFill>
                    </a:ln>
                  </pic:spPr>
                </pic:pic>
              </a:graphicData>
            </a:graphic>
          </wp:inline>
        </w:drawing>
      </w:r>
    </w:p>
    <w:p w14:paraId="2AB57274" w14:textId="09F4DED9" w:rsidR="00611B87" w:rsidRPr="00611B87" w:rsidRDefault="00EB1B68" w:rsidP="00FB1852">
      <w:pPr>
        <w:pStyle w:val="Caption"/>
      </w:pPr>
      <w:bookmarkStart w:id="66" w:name="_Toc88218608"/>
      <w:r>
        <w:t xml:space="preserve">Figure </w:t>
      </w:r>
      <w:r>
        <w:fldChar w:fldCharType="begin"/>
      </w:r>
      <w:r>
        <w:instrText xml:space="preserve"> SEQ Figure \* ARABIC </w:instrText>
      </w:r>
      <w:r>
        <w:fldChar w:fldCharType="separate"/>
      </w:r>
      <w:r w:rsidR="00CD04FC">
        <w:t>15</w:t>
      </w:r>
      <w:r>
        <w:fldChar w:fldCharType="end"/>
      </w:r>
      <w:r w:rsidR="00E02900">
        <w:t>.</w:t>
      </w:r>
      <w:r>
        <w:t xml:space="preserve"> Schematic of experimental paradigm for rabbits rec</w:t>
      </w:r>
      <w:r w:rsidR="00F019FA">
        <w:t>ei</w:t>
      </w:r>
      <w:r>
        <w:t>ving intracordal injections</w:t>
      </w:r>
      <w:bookmarkEnd w:id="66"/>
      <w:r>
        <w:t xml:space="preserve">  </w:t>
      </w:r>
    </w:p>
    <w:p w14:paraId="0DF48DA2" w14:textId="535ACE9D" w:rsidR="00611B87" w:rsidRDefault="00611B87">
      <w:pPr>
        <w:pStyle w:val="Heading3"/>
      </w:pPr>
      <w:bookmarkStart w:id="67" w:name="_Toc88218534"/>
      <w:r>
        <w:t>Frozen Vocal Fold Tissue Sectioning</w:t>
      </w:r>
      <w:bookmarkEnd w:id="67"/>
      <w:r>
        <w:t xml:space="preserve"> </w:t>
      </w:r>
    </w:p>
    <w:p w14:paraId="33497E3F" w14:textId="1C428EEA" w:rsidR="00611B87" w:rsidRPr="00611B87" w:rsidRDefault="008539F7" w:rsidP="00FB1852">
      <w:r>
        <w:t>Frozen OCT</w:t>
      </w:r>
      <w:r w:rsidR="00611B87" w:rsidRPr="00152C8F">
        <w:t xml:space="preserve"> blocks</w:t>
      </w:r>
      <w:r w:rsidR="00611B87">
        <w:t xml:space="preserve"> of all VF samples</w:t>
      </w:r>
      <w:r w:rsidR="00611B87" w:rsidRPr="00152C8F">
        <w:t xml:space="preserve"> were sectioned in the coronal orientation at 12µm thickness using a Leica CM1900 cryostat and mounted onto positively charged slides.</w:t>
      </w:r>
      <w:r w:rsidR="00611B87">
        <w:t xml:space="preserve"> Samples were stored at -80</w:t>
      </w:r>
      <w:r w:rsidR="00611B87" w:rsidRPr="00152C8F">
        <w:t>°C</w:t>
      </w:r>
      <w:r w:rsidR="00611B87">
        <w:t xml:space="preserve"> until further processing.</w:t>
      </w:r>
    </w:p>
    <w:p w14:paraId="7F0A727E" w14:textId="6CD2C3BE" w:rsidR="008C577B" w:rsidRDefault="008C577B" w:rsidP="008C577B">
      <w:pPr>
        <w:pStyle w:val="Heading3"/>
      </w:pPr>
      <w:bookmarkStart w:id="68" w:name="_Toc88218535"/>
      <w:r>
        <w:t xml:space="preserve">Paraffin </w:t>
      </w:r>
      <w:r w:rsidR="005624F1">
        <w:t>E</w:t>
      </w:r>
      <w:r>
        <w:t xml:space="preserve">mbedded Vocal </w:t>
      </w:r>
      <w:r w:rsidR="00E84863">
        <w:t>F</w:t>
      </w:r>
      <w:r>
        <w:t>old Tissue Sectioning</w:t>
      </w:r>
      <w:bookmarkEnd w:id="68"/>
      <w:r>
        <w:t xml:space="preserve">  </w:t>
      </w:r>
    </w:p>
    <w:p w14:paraId="575E260B" w14:textId="4239641C" w:rsidR="00FB1852" w:rsidRPr="00FB1852" w:rsidRDefault="00FB1852" w:rsidP="00FB1852">
      <w:r w:rsidRPr="009B0650">
        <w:rPr>
          <w:iCs/>
          <w:color w:val="000000" w:themeColor="text1"/>
        </w:rPr>
        <w:t>A Leica</w:t>
      </w:r>
      <w:r w:rsidRPr="009B0650">
        <w:t>™</w:t>
      </w:r>
      <w:r w:rsidRPr="009B0650">
        <w:rPr>
          <w:iCs/>
          <w:color w:val="000000" w:themeColor="text1"/>
        </w:rPr>
        <w:t xml:space="preserve"> TP1020 Automatic Tissue Processor was used for paraffin embedding. Formalin</w:t>
      </w:r>
      <w:r w:rsidR="004C425E">
        <w:rPr>
          <w:iCs/>
          <w:color w:val="000000" w:themeColor="text1"/>
        </w:rPr>
        <w:t>-</w:t>
      </w:r>
      <w:r w:rsidRPr="009B0650">
        <w:rPr>
          <w:iCs/>
          <w:color w:val="000000" w:themeColor="text1"/>
        </w:rPr>
        <w:t>fixed VF samples were inserted into the tissue basket and dehydrated in increasing concentrations of ethanol (70%; 80%; 96%; 100%; 100%, 100%) for equal durations of 1.5</w:t>
      </w:r>
      <w:r w:rsidR="008539F7">
        <w:rPr>
          <w:iCs/>
          <w:color w:val="000000" w:themeColor="text1"/>
        </w:rPr>
        <w:t>-</w:t>
      </w:r>
      <w:r w:rsidRPr="009B0650">
        <w:rPr>
          <w:iCs/>
          <w:color w:val="000000" w:themeColor="text1"/>
        </w:rPr>
        <w:t xml:space="preserve">hours in each concentration. Samples were then cleared in two 1.5-hour baths of </w:t>
      </w:r>
      <w:r w:rsidR="008539F7">
        <w:rPr>
          <w:iCs/>
          <w:color w:val="000000" w:themeColor="text1"/>
        </w:rPr>
        <w:t>x</w:t>
      </w:r>
      <w:r w:rsidRPr="009B0650">
        <w:rPr>
          <w:iCs/>
          <w:color w:val="000000" w:themeColor="text1"/>
        </w:rPr>
        <w:t>ylene and then in two 2-hour baths of paraffin wax. The VFs were placed in a</w:t>
      </w:r>
      <w:r w:rsidR="00D51838">
        <w:rPr>
          <w:iCs/>
          <w:color w:val="000000" w:themeColor="text1"/>
        </w:rPr>
        <w:t xml:space="preserve"> tissue</w:t>
      </w:r>
      <w:r w:rsidRPr="009B0650">
        <w:rPr>
          <w:iCs/>
          <w:color w:val="000000" w:themeColor="text1"/>
        </w:rPr>
        <w:t xml:space="preserve"> </w:t>
      </w:r>
      <w:r w:rsidR="00D51838">
        <w:rPr>
          <w:iCs/>
          <w:color w:val="000000" w:themeColor="text1"/>
        </w:rPr>
        <w:t xml:space="preserve">mounting </w:t>
      </w:r>
      <w:r w:rsidRPr="009B0650">
        <w:rPr>
          <w:iCs/>
          <w:color w:val="000000" w:themeColor="text1"/>
        </w:rPr>
        <w:t xml:space="preserve">cassette and embedded in paraffin wax. </w:t>
      </w:r>
      <w:r w:rsidR="008539F7">
        <w:rPr>
          <w:iCs/>
          <w:color w:val="000000" w:themeColor="text1"/>
        </w:rPr>
        <w:t>Once hardened, t</w:t>
      </w:r>
      <w:r w:rsidRPr="009B0650">
        <w:rPr>
          <w:iCs/>
          <w:color w:val="000000" w:themeColor="text1"/>
        </w:rPr>
        <w:t xml:space="preserve">he paraffin blocks </w:t>
      </w:r>
      <w:r>
        <w:rPr>
          <w:iCs/>
          <w:color w:val="000000" w:themeColor="text1"/>
        </w:rPr>
        <w:t>were</w:t>
      </w:r>
      <w:r w:rsidRPr="009B0650">
        <w:rPr>
          <w:iCs/>
          <w:color w:val="000000" w:themeColor="text1"/>
        </w:rPr>
        <w:t xml:space="preserve"> sectioned in the </w:t>
      </w:r>
      <w:r w:rsidRPr="009B0650">
        <w:t>coronal orientation at 10µm using a Leica™ HistoCore</w:t>
      </w:r>
      <w:r>
        <w:t xml:space="preserve"> </w:t>
      </w:r>
      <w:r w:rsidRPr="009B0650">
        <w:t xml:space="preserve">BIOCUT microtome. Once </w:t>
      </w:r>
      <w:r w:rsidR="008539F7">
        <w:t>sectioned</w:t>
      </w:r>
      <w:r w:rsidRPr="009B0650">
        <w:t xml:space="preserve">, </w:t>
      </w:r>
      <w:r>
        <w:t>t</w:t>
      </w:r>
      <w:r w:rsidRPr="009B0650">
        <w:t>he tissue was floated in a Leica™ HI1210 heated water bath and adhered to positively charged slides. Slides were stored at room temperature until further processing.</w:t>
      </w:r>
    </w:p>
    <w:p w14:paraId="56C54091" w14:textId="796C8BE7" w:rsidR="00965C40" w:rsidRDefault="00FB1852" w:rsidP="00965C40">
      <w:pPr>
        <w:pStyle w:val="Heading3"/>
      </w:pPr>
      <w:bookmarkStart w:id="69" w:name="_Toc88218536"/>
      <w:r>
        <w:t>Immunofluorescence Labeling</w:t>
      </w:r>
      <w:bookmarkEnd w:id="69"/>
      <w:r>
        <w:t xml:space="preserve"> </w:t>
      </w:r>
    </w:p>
    <w:p w14:paraId="63782EE2" w14:textId="1F06F468" w:rsidR="00965C40" w:rsidRPr="00FC3D6F" w:rsidRDefault="005F0BA5" w:rsidP="00FC3D6F">
      <w:pPr>
        <w:pBdr>
          <w:top w:val="nil"/>
          <w:left w:val="nil"/>
          <w:bottom w:val="nil"/>
          <w:right w:val="nil"/>
          <w:between w:val="nil"/>
        </w:pBdr>
        <w:ind w:right="-14"/>
        <w:rPr>
          <w:i/>
        </w:rPr>
      </w:pPr>
      <w:r w:rsidRPr="008931B3">
        <w:t xml:space="preserve">Immunofluorescence labeling was performed </w:t>
      </w:r>
      <w:r w:rsidR="00AB7F21">
        <w:t xml:space="preserve">in triplicate per sample </w:t>
      </w:r>
      <w:r w:rsidRPr="008931B3">
        <w:t xml:space="preserve">using primary antibodies against AQP1 (Santa Cruz Biotechnology Cat# sc-70371), AQP4 (Santa Cruz Biotechnology Cat# sc-390636), AQP7 (Santa Cruz Biotechnology Cat# sc-376407,) alpha subunit Na+/K+-ATPase </w:t>
      </w:r>
      <w:r w:rsidRPr="008931B3">
        <w:rPr>
          <w:b/>
          <w:bCs/>
          <w:color w:val="555555"/>
          <w:shd w:val="clear" w:color="auto" w:fill="FFFFFF"/>
        </w:rPr>
        <w:t>(</w:t>
      </w:r>
      <w:r w:rsidRPr="008931B3">
        <w:t>Abcam Cat# ab7671), e-cadherin (BD</w:t>
      </w:r>
      <w:r w:rsidRPr="008931B3">
        <w:rPr>
          <w:b/>
          <w:bCs/>
          <w:color w:val="555555"/>
          <w:shd w:val="clear" w:color="auto" w:fill="FFFFFF"/>
        </w:rPr>
        <w:t xml:space="preserve"> </w:t>
      </w:r>
      <w:r w:rsidRPr="008931B3">
        <w:t>Biosciences Cat# 610182), Z</w:t>
      </w:r>
      <w:r w:rsidR="008539F7">
        <w:t>O</w:t>
      </w:r>
      <w:r w:rsidRPr="008931B3">
        <w:t>-1 (Innovative Research Cat# 33-9100), occludin (Santa Cruz Biotechnology Cat# sc-271842), CD31 (</w:t>
      </w:r>
      <w:r w:rsidRPr="005F0BA5">
        <w:t>Novus Cat# NB600-562), and GCR (Abcam Cat# ab2768). Samples labeled for AQP</w:t>
      </w:r>
      <w:r w:rsidR="00521AB2">
        <w:t>4</w:t>
      </w:r>
      <w:r w:rsidRPr="005F0BA5">
        <w:t>, AQP7, e-cadherin, Z</w:t>
      </w:r>
      <w:r w:rsidR="008539F7">
        <w:t>O</w:t>
      </w:r>
      <w:r w:rsidRPr="005F0BA5">
        <w:t>-1, occludin, CD31, and GCR were fixed in methanol for 10</w:t>
      </w:r>
      <w:r w:rsidR="004D2D8A">
        <w:t>-</w:t>
      </w:r>
      <w:r w:rsidRPr="005F0BA5">
        <w:t xml:space="preserve">minutes at -20°C. These were washed in </w:t>
      </w:r>
      <w:r w:rsidR="004D2D8A">
        <w:t>three</w:t>
      </w:r>
      <w:r w:rsidRPr="005F0BA5">
        <w:t xml:space="preserve"> changes of phosphate-buffered saline (PBS) for 5</w:t>
      </w:r>
      <w:r w:rsidR="004D2D8A">
        <w:t>-</w:t>
      </w:r>
      <w:r w:rsidRPr="005F0BA5">
        <w:t>minutes per wash and permeabilized in 200µl of Triton X-100 (diluted 1:1000 in PBS)</w:t>
      </w:r>
      <w:r w:rsidR="004C425E">
        <w:t>,</w:t>
      </w:r>
      <w:r w:rsidRPr="005F0BA5">
        <w:t xml:space="preserve"> and then washed in </w:t>
      </w:r>
      <w:r w:rsidR="004D2D8A">
        <w:t>one</w:t>
      </w:r>
      <w:r w:rsidRPr="005F0BA5">
        <w:t xml:space="preserve"> change of PBS for 5</w:t>
      </w:r>
      <w:r w:rsidR="004D2D8A">
        <w:t>-</w:t>
      </w:r>
      <w:r w:rsidRPr="005F0BA5">
        <w:t>minutes. Samples labeled for AQP1 and Na+/K+-ATPase were fixed and permeabilized in acetone for 10</w:t>
      </w:r>
      <w:r w:rsidR="005765A2">
        <w:t>-</w:t>
      </w:r>
      <w:r w:rsidRPr="005F0BA5">
        <w:t xml:space="preserve">minutes at -20°C and then washed in </w:t>
      </w:r>
      <w:r w:rsidR="004D2D8A">
        <w:t>three</w:t>
      </w:r>
      <w:r w:rsidRPr="005F0BA5">
        <w:t xml:space="preserve"> changes of PBS for 5</w:t>
      </w:r>
      <w:r w:rsidR="004D2D8A">
        <w:t>-</w:t>
      </w:r>
      <w:r w:rsidRPr="005F0BA5">
        <w:t>minutes per wash. For antigen blocking, samples in all conditions were blocked in 200 µl of 10% goat serum for 1</w:t>
      </w:r>
      <w:r w:rsidR="004D2D8A">
        <w:t>-</w:t>
      </w:r>
      <w:r w:rsidRPr="005F0BA5">
        <w:t>hour at room temperature. After blocking, samples were treated with 200 µl of the appropriate primary antibody diluted 1:100 in 1% goat serum for 1</w:t>
      </w:r>
      <w:r w:rsidR="004D2D8A">
        <w:t>-</w:t>
      </w:r>
      <w:r w:rsidRPr="005F0BA5">
        <w:t xml:space="preserve">hour at </w:t>
      </w:r>
      <w:r w:rsidR="005765A2">
        <w:t>room temperature (</w:t>
      </w:r>
      <w:r w:rsidRPr="005F0BA5">
        <w:t>RT</w:t>
      </w:r>
      <w:r w:rsidR="005765A2">
        <w:t>)</w:t>
      </w:r>
      <w:r w:rsidRPr="005F0BA5">
        <w:t xml:space="preserve"> and then washed in </w:t>
      </w:r>
      <w:r w:rsidR="009310BF">
        <w:t>three</w:t>
      </w:r>
      <w:r w:rsidRPr="005F0BA5">
        <w:t xml:space="preserve"> changes of PBS. For secondary antibody treatment, Alexa Fluor</w:t>
      </w:r>
      <w:r w:rsidRPr="005F0BA5">
        <w:rPr>
          <w:vertAlign w:val="superscript"/>
        </w:rPr>
        <w:t>®</w:t>
      </w:r>
      <w:r w:rsidRPr="005F0BA5">
        <w:t xml:space="preserve"> 594 Goat anti-Mouse </w:t>
      </w:r>
      <w:r w:rsidR="00706831" w:rsidRPr="00706831">
        <w:t xml:space="preserve">Immunoglobulin </w:t>
      </w:r>
      <w:r w:rsidRPr="005F0BA5">
        <w:t>G conjugate (Molecular Probes Cat# A-11032) in 1% goat serum was used (dilution 1:500) and incubated for 1</w:t>
      </w:r>
      <w:r w:rsidR="00706831">
        <w:t>-</w:t>
      </w:r>
      <w:r w:rsidRPr="005F0BA5">
        <w:t xml:space="preserve">hour in the dark at </w:t>
      </w:r>
      <w:r w:rsidR="00706831">
        <w:t>RT</w:t>
      </w:r>
      <w:r w:rsidRPr="005F0BA5">
        <w:t xml:space="preserve">. Samples were washed in </w:t>
      </w:r>
      <w:r w:rsidR="00706831">
        <w:t>three</w:t>
      </w:r>
      <w:r w:rsidRPr="005F0BA5">
        <w:t xml:space="preserve"> changes of PBS. Samples labeled for AQP1and Na+/K+-ATPase were incubated in 200 µl 4′,6-diamidino-2-phenylindole (DAPI) (Thermo Fisher Scientific Cat# D1306) (dilution 1:50) for 5</w:t>
      </w:r>
      <w:r w:rsidR="00F26DDB">
        <w:t>-</w:t>
      </w:r>
      <w:r w:rsidRPr="005F0BA5">
        <w:t xml:space="preserve">minutes in the dark </w:t>
      </w:r>
      <w:r w:rsidR="00F26DDB">
        <w:t>at RT</w:t>
      </w:r>
      <w:r w:rsidRPr="005F0BA5">
        <w:t xml:space="preserve">. Samples were washed in </w:t>
      </w:r>
      <w:r w:rsidR="00F26DDB">
        <w:t>three</w:t>
      </w:r>
      <w:r w:rsidRPr="005F0BA5">
        <w:t xml:space="preserve"> changes of PBS and mounted under glass coverslips using Vectashield</w:t>
      </w:r>
      <w:r w:rsidRPr="005F0BA5">
        <w:rPr>
          <w:vertAlign w:val="superscript"/>
        </w:rPr>
        <w:t>®</w:t>
      </w:r>
      <w:r w:rsidRPr="005F0BA5">
        <w:t xml:space="preserve"> Mounting Medium (Vector Laboratories Cat# H-1000). Samples labeled for AQP</w:t>
      </w:r>
      <w:r w:rsidR="00066CB0">
        <w:t>4</w:t>
      </w:r>
      <w:r w:rsidRPr="005F0BA5">
        <w:t>, AQP7, e-cadherin, Z</w:t>
      </w:r>
      <w:r>
        <w:t>O</w:t>
      </w:r>
      <w:r w:rsidRPr="005F0BA5">
        <w:t>-1, occludin, CD31, and</w:t>
      </w:r>
      <w:r w:rsidRPr="008931B3">
        <w:t xml:space="preserve"> GCR were mounted under glass coverslips using Vectashield</w:t>
      </w:r>
      <w:r w:rsidRPr="008931B3">
        <w:rPr>
          <w:vertAlign w:val="superscript"/>
        </w:rPr>
        <w:t>®</w:t>
      </w:r>
      <w:r w:rsidRPr="008931B3">
        <w:t xml:space="preserve"> Mounting Medium with DAPI (Vector Laboratories Cat# H-1200). Samples that were not treated with the primary antibody served as controls to ensure specific protein labeling</w:t>
      </w:r>
      <w:r w:rsidRPr="008931B3">
        <w:rPr>
          <w:b/>
        </w:rPr>
        <w:t>.</w:t>
      </w:r>
    </w:p>
    <w:p w14:paraId="185B26C3" w14:textId="3B3460C8" w:rsidR="00FC3D6F" w:rsidRDefault="00FC3D6F">
      <w:pPr>
        <w:pStyle w:val="Heading3"/>
      </w:pPr>
      <w:bookmarkStart w:id="70" w:name="_Toc88218537"/>
      <w:r>
        <w:t>Hematoxylin and Eosin Staining</w:t>
      </w:r>
      <w:bookmarkEnd w:id="70"/>
      <w:r>
        <w:t xml:space="preserve"> </w:t>
      </w:r>
    </w:p>
    <w:p w14:paraId="01EB084B" w14:textId="17B5585C" w:rsidR="006C02B9" w:rsidRPr="006C02B9" w:rsidRDefault="00AB7F21" w:rsidP="00751B4A">
      <w:pPr>
        <w:ind w:right="-15"/>
      </w:pPr>
      <w:bookmarkStart w:id="71" w:name="_Hlk31360766"/>
      <w:r>
        <w:t xml:space="preserve">Hematoxylin and </w:t>
      </w:r>
      <w:r w:rsidR="00F04286">
        <w:t>e</w:t>
      </w:r>
      <w:r>
        <w:t>osin staining was performed in triplicate</w:t>
      </w:r>
      <w:r w:rsidR="002234EF">
        <w:t xml:space="preserve"> for each sample</w:t>
      </w:r>
      <w:r>
        <w:t xml:space="preserve">. </w:t>
      </w:r>
      <w:r w:rsidR="006C02B9">
        <w:t xml:space="preserve">Slides were deparaffinized using </w:t>
      </w:r>
      <w:bookmarkEnd w:id="71"/>
      <w:r w:rsidR="00F26DDB">
        <w:t>three</w:t>
      </w:r>
      <w:r w:rsidR="006C02B9">
        <w:t xml:space="preserve"> changes of xylene for 3</w:t>
      </w:r>
      <w:r w:rsidR="00F26DDB">
        <w:t>-</w:t>
      </w:r>
      <w:r w:rsidR="006C02B9">
        <w:t xml:space="preserve">minutes each and then dehydrated in </w:t>
      </w:r>
      <w:r w:rsidR="00F26DDB">
        <w:t>three</w:t>
      </w:r>
      <w:r w:rsidR="006C02B9">
        <w:t xml:space="preserve"> decreasing concentrations of ethanol (100%, 95%, 85%, respectively) for 3</w:t>
      </w:r>
      <w:r w:rsidR="00F04286">
        <w:t>-</w:t>
      </w:r>
      <w:r w:rsidR="006C02B9">
        <w:t>minutes each</w:t>
      </w:r>
      <w:r w:rsidR="006C02B9" w:rsidRPr="00964018">
        <w:t xml:space="preserve">. </w:t>
      </w:r>
      <w:r w:rsidR="006C02B9">
        <w:t>Slides were then immersed in hematoxylin for 15</w:t>
      </w:r>
      <w:r w:rsidR="00F04286">
        <w:t>-</w:t>
      </w:r>
      <w:r w:rsidR="006C02B9">
        <w:t xml:space="preserve">minutes and then washed in </w:t>
      </w:r>
      <w:r w:rsidR="006C02B9" w:rsidRPr="00CF588E">
        <w:t>distilled water (dH</w:t>
      </w:r>
      <w:r w:rsidR="006C02B9" w:rsidRPr="00CF588E">
        <w:rPr>
          <w:vertAlign w:val="subscript"/>
        </w:rPr>
        <w:t>2</w:t>
      </w:r>
      <w:r w:rsidR="006C02B9" w:rsidRPr="00CF588E">
        <w:t>O</w:t>
      </w:r>
      <w:r w:rsidR="006C02B9">
        <w:t>) for 15</w:t>
      </w:r>
      <w:r w:rsidR="00F04286">
        <w:t>-</w:t>
      </w:r>
      <w:r w:rsidR="006C02B9">
        <w:t>minutes. Slides were immersed in eosin for 30</w:t>
      </w:r>
      <w:r w:rsidR="00E16D6F">
        <w:t>-</w:t>
      </w:r>
      <w:r w:rsidR="006C02B9">
        <w:t>seconds followed by a 30</w:t>
      </w:r>
      <w:r w:rsidR="00E16D6F">
        <w:t>-</w:t>
      </w:r>
      <w:r w:rsidR="006C02B9">
        <w:t xml:space="preserve">second wash in </w:t>
      </w:r>
      <w:r w:rsidR="006C02B9" w:rsidRPr="00CF588E">
        <w:t>dH</w:t>
      </w:r>
      <w:r w:rsidR="006C02B9" w:rsidRPr="00CF588E">
        <w:rPr>
          <w:vertAlign w:val="subscript"/>
        </w:rPr>
        <w:t>2</w:t>
      </w:r>
      <w:r w:rsidR="006C02B9" w:rsidRPr="00CF588E">
        <w:t>O</w:t>
      </w:r>
      <w:r w:rsidR="006C02B9">
        <w:t>. Samples were then submerged in</w:t>
      </w:r>
      <w:r w:rsidR="00E16D6F">
        <w:t xml:space="preserve"> three </w:t>
      </w:r>
      <w:r w:rsidR="006C02B9">
        <w:t>increasing concentrations of ethanol (85%, 95%, 100%</w:t>
      </w:r>
      <w:r w:rsidR="00A36A17">
        <w:t>, respectively</w:t>
      </w:r>
      <w:r w:rsidR="006C02B9">
        <w:t>) for 3</w:t>
      </w:r>
      <w:r w:rsidR="00E16D6F">
        <w:t>-</w:t>
      </w:r>
      <w:r w:rsidR="006C02B9">
        <w:t xml:space="preserve">minutes each, and then in </w:t>
      </w:r>
      <w:r w:rsidR="00E16D6F">
        <w:t>three</w:t>
      </w:r>
      <w:r w:rsidR="006C02B9">
        <w:t xml:space="preserve"> changes</w:t>
      </w:r>
      <w:r w:rsidR="00E16D6F">
        <w:t xml:space="preserve"> of </w:t>
      </w:r>
      <w:r w:rsidR="006C02B9">
        <w:t>xylene for 3</w:t>
      </w:r>
      <w:r w:rsidR="00E16D6F">
        <w:t>-</w:t>
      </w:r>
      <w:r w:rsidR="006C02B9">
        <w:t xml:space="preserve">minutes each. Coverslips were mounted onto slides using SecureMount™ low viscosity mounting medium. </w:t>
      </w:r>
    </w:p>
    <w:p w14:paraId="36AA0569" w14:textId="48B94125" w:rsidR="00751B4A" w:rsidRDefault="00751B4A">
      <w:pPr>
        <w:pStyle w:val="Heading3"/>
      </w:pPr>
      <w:bookmarkStart w:id="72" w:name="_Toc88218538"/>
      <w:r>
        <w:t>Image Acquisition</w:t>
      </w:r>
      <w:bookmarkEnd w:id="72"/>
      <w:r>
        <w:t xml:space="preserve"> </w:t>
      </w:r>
    </w:p>
    <w:p w14:paraId="060500A3" w14:textId="5E831AD1" w:rsidR="000213FB" w:rsidRPr="00800B37" w:rsidRDefault="000213FB" w:rsidP="00800B37">
      <w:pPr>
        <w:ind w:right="-14"/>
        <w:rPr>
          <w:rFonts w:cstheme="minorHAnsi"/>
        </w:rPr>
      </w:pPr>
      <w:r w:rsidRPr="008926D2">
        <w:rPr>
          <w:rFonts w:cstheme="minorHAnsi"/>
          <w:color w:val="000000" w:themeColor="text1"/>
        </w:rPr>
        <w:t>Images were captured digitally using a Nikon Eclipse 90i microscope and Hamamatsu C10600 Camera</w:t>
      </w:r>
      <w:r w:rsidRPr="008926D2">
        <w:rPr>
          <w:rFonts w:cstheme="minorHAnsi"/>
        </w:rPr>
        <w:t xml:space="preserve">. All samples were captured at </w:t>
      </w:r>
      <w:r>
        <w:rPr>
          <w:rFonts w:cstheme="minorHAnsi"/>
        </w:rPr>
        <w:t xml:space="preserve">10x and </w:t>
      </w:r>
      <w:r w:rsidRPr="008926D2">
        <w:rPr>
          <w:rFonts w:cstheme="minorHAnsi"/>
        </w:rPr>
        <w:t>20x magnification</w:t>
      </w:r>
      <w:r w:rsidR="006074E9">
        <w:rPr>
          <w:rFonts w:cstheme="minorHAnsi"/>
        </w:rPr>
        <w:t xml:space="preserve"> </w:t>
      </w:r>
      <w:r w:rsidR="006600E2">
        <w:rPr>
          <w:rFonts w:cstheme="minorHAnsi"/>
        </w:rPr>
        <w:t xml:space="preserve">at a fixed exposure time </w:t>
      </w:r>
      <w:r w:rsidR="009460CC">
        <w:rPr>
          <w:rFonts w:cstheme="minorHAnsi"/>
        </w:rPr>
        <w:t xml:space="preserve">per </w:t>
      </w:r>
      <w:r w:rsidR="00C75C40">
        <w:rPr>
          <w:rFonts w:cstheme="minorHAnsi"/>
        </w:rPr>
        <w:t>experiment</w:t>
      </w:r>
      <w:r w:rsidR="006600E2">
        <w:rPr>
          <w:rFonts w:cstheme="minorHAnsi"/>
        </w:rPr>
        <w:t>.</w:t>
      </w:r>
    </w:p>
    <w:p w14:paraId="7FABCC8D" w14:textId="564CB20E" w:rsidR="00800B37" w:rsidRDefault="00800B37">
      <w:pPr>
        <w:pStyle w:val="Heading3"/>
      </w:pPr>
      <w:r>
        <w:t xml:space="preserve"> </w:t>
      </w:r>
      <w:bookmarkStart w:id="73" w:name="_Toc88218539"/>
      <w:r>
        <w:t>Protein Localization Ratings</w:t>
      </w:r>
      <w:bookmarkEnd w:id="73"/>
    </w:p>
    <w:p w14:paraId="5757B08E" w14:textId="32F8CF35" w:rsidR="00E424E0" w:rsidRPr="00E424E0" w:rsidRDefault="00D147DA" w:rsidP="00E424E0">
      <w:r w:rsidRPr="008926D2">
        <w:rPr>
          <w:rFonts w:cstheme="minorHAnsi"/>
        </w:rPr>
        <w:t xml:space="preserve">To </w:t>
      </w:r>
      <w:r>
        <w:rPr>
          <w:rFonts w:cstheme="minorHAnsi"/>
        </w:rPr>
        <w:t xml:space="preserve">identify and </w:t>
      </w:r>
      <w:r w:rsidRPr="008926D2">
        <w:rPr>
          <w:rFonts w:cstheme="minorHAnsi"/>
        </w:rPr>
        <w:t xml:space="preserve">compare </w:t>
      </w:r>
      <w:r>
        <w:rPr>
          <w:rFonts w:cstheme="minorHAnsi"/>
        </w:rPr>
        <w:t xml:space="preserve">the </w:t>
      </w:r>
      <w:r w:rsidRPr="008926D2">
        <w:rPr>
          <w:rFonts w:cstheme="minorHAnsi"/>
        </w:rPr>
        <w:t xml:space="preserve">localization of proteins between species, two raters familiar with rabbit and human </w:t>
      </w:r>
      <w:r>
        <w:rPr>
          <w:rFonts w:cstheme="minorHAnsi"/>
        </w:rPr>
        <w:t xml:space="preserve">VF </w:t>
      </w:r>
      <w:r w:rsidRPr="008926D2">
        <w:rPr>
          <w:rFonts w:cstheme="minorHAnsi"/>
        </w:rPr>
        <w:t xml:space="preserve">histology </w:t>
      </w:r>
      <w:r>
        <w:rPr>
          <w:rFonts w:cstheme="minorHAnsi"/>
        </w:rPr>
        <w:t>identified</w:t>
      </w:r>
      <w:r w:rsidRPr="008926D2">
        <w:rPr>
          <w:rFonts w:cstheme="minorHAnsi"/>
        </w:rPr>
        <w:t xml:space="preserve"> the location of positive protein labeling in tissue samples. Raters were aware of species and image magnification when rating but blinded to specific protein labeling. Raters identified positive labeling in tissue structures including the apical epithelium, basal epithelium, basement membrane, and LP layers</w:t>
      </w:r>
      <w:r>
        <w:rPr>
          <w:rFonts w:cstheme="minorHAnsi"/>
        </w:rPr>
        <w:t xml:space="preserve"> </w:t>
      </w:r>
      <w:r w:rsidRPr="006B64BB">
        <w:rPr>
          <w:rFonts w:cstheme="minorHAnsi"/>
        </w:rPr>
        <w:t>(Appendix A)</w:t>
      </w:r>
      <w:r w:rsidR="006B64BB">
        <w:rPr>
          <w:rFonts w:cstheme="minorHAnsi"/>
        </w:rPr>
        <w:t>.</w:t>
      </w:r>
    </w:p>
    <w:p w14:paraId="53FB63F8" w14:textId="7A616C94" w:rsidR="006B64BB" w:rsidRDefault="00B37E44">
      <w:pPr>
        <w:pStyle w:val="Heading3"/>
      </w:pPr>
      <w:bookmarkStart w:id="74" w:name="_Toc88218540"/>
      <w:r>
        <w:t>Fluorescence Quantification</w:t>
      </w:r>
      <w:bookmarkEnd w:id="74"/>
    </w:p>
    <w:p w14:paraId="3A7EF4D4" w14:textId="7C2B34C1" w:rsidR="00E06E38" w:rsidRDefault="00327E71" w:rsidP="00413615">
      <w:r>
        <w:t>P</w:t>
      </w:r>
      <w:r w:rsidRPr="00964018">
        <w:t xml:space="preserve">ositive </w:t>
      </w:r>
      <w:r>
        <w:t>immuno</w:t>
      </w:r>
      <w:r w:rsidRPr="00964018">
        <w:t>labeling</w:t>
      </w:r>
      <w:r w:rsidRPr="00964018" w:rsidDel="003E39C4">
        <w:t xml:space="preserve"> </w:t>
      </w:r>
      <w:r>
        <w:t xml:space="preserve">of </w:t>
      </w:r>
      <w:r w:rsidRPr="00964018">
        <w:t xml:space="preserve">ZO-1, GCR, CD31 was </w:t>
      </w:r>
      <w:r>
        <w:t>quantified</w:t>
      </w:r>
      <w:r w:rsidRPr="00964018">
        <w:t xml:space="preserve"> using ImageJ’s “threshold” </w:t>
      </w:r>
      <w:r>
        <w:t>tool</w:t>
      </w:r>
      <w:r w:rsidRPr="00964018">
        <w:t xml:space="preserve">. </w:t>
      </w:r>
      <w:r>
        <w:t xml:space="preserve"> Images were separated into color channels. </w:t>
      </w:r>
      <w:r w:rsidRPr="00964018">
        <w:t>The “Triangle” threshold presets were used</w:t>
      </w:r>
      <w:r>
        <w:t xml:space="preserve"> to select </w:t>
      </w:r>
      <w:r w:rsidRPr="00964018">
        <w:t>CD31</w:t>
      </w:r>
      <w:r>
        <w:t xml:space="preserve">, GCR, ZO-1, and </w:t>
      </w:r>
      <w:r w:rsidRPr="00964018">
        <w:t>DAPI</w:t>
      </w:r>
      <w:r>
        <w:t xml:space="preserve"> nuclear counterstain.</w:t>
      </w:r>
      <w:r w:rsidRPr="00964018">
        <w:t xml:space="preserve"> The “analyze particles” function was then applied to calculate the percent area positively labeled within each sample</w:t>
      </w:r>
      <w:r>
        <w:t xml:space="preserve">. The positive area for each immunolabel of </w:t>
      </w:r>
      <w:r w:rsidRPr="00BC6BBD">
        <w:t>interest was normalized to the DAPI area and reported as a % value</w:t>
      </w:r>
      <w:r>
        <w:t>.</w:t>
      </w:r>
    </w:p>
    <w:p w14:paraId="2DA44AD1" w14:textId="034A83AE" w:rsidR="006124E5" w:rsidRDefault="006124E5">
      <w:pPr>
        <w:pStyle w:val="Heading3"/>
      </w:pPr>
      <w:bookmarkStart w:id="75" w:name="_Toc88218541"/>
      <w:r>
        <w:t xml:space="preserve">Muscle </w:t>
      </w:r>
      <w:r w:rsidR="002F06A7">
        <w:t>Fiber Cross-</w:t>
      </w:r>
      <w:r w:rsidR="0022485E">
        <w:t>s</w:t>
      </w:r>
      <w:r w:rsidR="002F06A7">
        <w:t>ectional Area Quantification</w:t>
      </w:r>
      <w:bookmarkEnd w:id="75"/>
    </w:p>
    <w:p w14:paraId="38937E7A" w14:textId="6DD5FA9B" w:rsidR="009D004D" w:rsidRPr="00D86E9B" w:rsidRDefault="009D004D" w:rsidP="009D004D">
      <w:r w:rsidRPr="00D86E9B">
        <w:t xml:space="preserve">To calculate </w:t>
      </w:r>
      <w:r w:rsidR="003D2ADB">
        <w:t>TA</w:t>
      </w:r>
      <w:r w:rsidRPr="00D86E9B">
        <w:t xml:space="preserve"> muscle fiber </w:t>
      </w:r>
      <w:r w:rsidR="00A82333">
        <w:t>CSA</w:t>
      </w:r>
      <w:r w:rsidRPr="00D86E9B">
        <w:t>, ImageJ software was used to manually select a region of interest containing the muscle fibers in H&amp;E</w:t>
      </w:r>
      <w:r w:rsidR="002C4B9A">
        <w:t xml:space="preserve"> </w:t>
      </w:r>
      <w:r w:rsidRPr="00D86E9B">
        <w:t>stained samples</w:t>
      </w:r>
      <w:r w:rsidR="00A82333">
        <w:t>.</w:t>
      </w:r>
      <w:r w:rsidR="00154FC7">
        <w:t xml:space="preserve"> </w:t>
      </w:r>
      <w:r w:rsidRPr="00D86E9B">
        <w:t xml:space="preserve">Default thresholding was performed, and the particle analysis tool was </w:t>
      </w:r>
      <w:r w:rsidR="0076791D">
        <w:t>used</w:t>
      </w:r>
      <w:r w:rsidRPr="00D86E9B">
        <w:t xml:space="preserve"> to calculate the total muscle fiber CSA in each sample. Individual muscle fibers were then manually counted using the multipoint tool, and the average individual muscle fiber CSA for each image was calculated </w:t>
      </w:r>
      <w:r w:rsidR="00AD3FA5">
        <w:t>(Appendix B)</w:t>
      </w:r>
      <w:r w:rsidR="00AD3FA5" w:rsidRPr="00D86E9B">
        <w:t xml:space="preserve"> </w:t>
      </w:r>
      <w:r w:rsidRPr="00D86E9B">
        <w:t>using the formula</w:t>
      </w:r>
      <w:r w:rsidR="00DE1183">
        <w:t>:</w:t>
      </w:r>
      <w:r w:rsidRPr="00D86E9B">
        <w:t xml:space="preserve"> </w:t>
      </w:r>
    </w:p>
    <w:p w14:paraId="4190100C" w14:textId="46A65C3A" w:rsidR="007068D9" w:rsidRDefault="003729D1" w:rsidP="00E36F10">
      <m:oMathPara>
        <m:oMath>
          <m:f>
            <m:fPr>
              <m:ctrlPr>
                <w:rPr>
                  <w:rFonts w:ascii="Cambria Math" w:hAnsi="Cambria Math"/>
                </w:rPr>
              </m:ctrlPr>
            </m:fPr>
            <m:num>
              <m:r>
                <m:rPr>
                  <m:sty m:val="p"/>
                </m:rPr>
                <w:rPr>
                  <w:rFonts w:ascii="Cambria Math" w:hAnsi="Cambria Math"/>
                </w:rPr>
                <m:t>Total muscle fiber area</m:t>
              </m:r>
            </m:num>
            <m:den>
              <m:r>
                <m:rPr>
                  <m:sty m:val="p"/>
                </m:rPr>
                <w:rPr>
                  <w:rFonts w:ascii="Cambria Math" w:hAnsi="Cambria Math"/>
                </w:rPr>
                <m:t>Muscle fiber count</m:t>
              </m:r>
            </m:den>
          </m:f>
          <m:r>
            <m:rPr>
              <m:nor/>
            </m:rPr>
            <m:t xml:space="preserve">= </m:t>
          </m:r>
          <w:bookmarkStart w:id="76" w:name="_Hlk40192998"/>
          <m:acc>
            <m:accPr>
              <m:chr m:val="̅"/>
              <m:ctrlPr>
                <w:rPr>
                  <w:rFonts w:ascii="Cambria Math" w:hAnsi="Cambria Math"/>
                </w:rPr>
              </m:ctrlPr>
            </m:accPr>
            <m:e>
              <m:r>
                <m:rPr>
                  <m:sty m:val="p"/>
                </m:rPr>
                <w:rPr>
                  <w:rFonts w:ascii="Cambria Math" w:hAnsi="Cambria Math"/>
                </w:rPr>
                <m:t>x</m:t>
              </m:r>
            </m:e>
          </m:acc>
          <w:bookmarkEnd w:id="76"/>
          <m:r>
            <m:rPr>
              <m:sty m:val="p"/>
            </m:rPr>
            <w:rPr>
              <w:rFonts w:ascii="Cambria Math" w:hAnsi="Cambria Math"/>
            </w:rPr>
            <m:t xml:space="preserve"> individual muscle fiber</m:t>
          </m:r>
        </m:oMath>
      </m:oMathPara>
    </w:p>
    <w:p w14:paraId="0E3E132E" w14:textId="0ABD7614" w:rsidR="008F08E3" w:rsidRDefault="009E06A6">
      <w:pPr>
        <w:pStyle w:val="Heading3"/>
      </w:pPr>
      <w:bookmarkStart w:id="77" w:name="_Toc88218542"/>
      <w:r>
        <w:t>Q</w:t>
      </w:r>
      <w:r w:rsidRPr="00355327">
        <w:t xml:space="preserve">uantitative </w:t>
      </w:r>
      <w:r>
        <w:t>P</w:t>
      </w:r>
      <w:r w:rsidRPr="00355327">
        <w:t xml:space="preserve">olymerase </w:t>
      </w:r>
      <w:r>
        <w:t>C</w:t>
      </w:r>
      <w:r w:rsidRPr="00355327">
        <w:t xml:space="preserve">hain </w:t>
      </w:r>
      <w:r>
        <w:t>R</w:t>
      </w:r>
      <w:r w:rsidRPr="00355327">
        <w:t>eaction</w:t>
      </w:r>
      <w:r w:rsidR="008F08E3">
        <w:t xml:space="preserve"> Primer and Probe Design</w:t>
      </w:r>
      <w:bookmarkEnd w:id="77"/>
      <w:r w:rsidR="008F08E3">
        <w:t xml:space="preserve"> </w:t>
      </w:r>
    </w:p>
    <w:p w14:paraId="1A64B89D" w14:textId="7A6EFC78" w:rsidR="00E01A01" w:rsidRDefault="00E01A01" w:rsidP="00E01A01">
      <w:r>
        <w:t xml:space="preserve">To assess transcript levels, </w:t>
      </w:r>
      <w:r w:rsidRPr="00355327">
        <w:t>quantitative polymerase chain reaction</w:t>
      </w:r>
      <w:r>
        <w:t xml:space="preserve"> (qPCR) assays were developed and validated. Rabbit sequences for the genes of interest were obtained from Ensembl v.104</w:t>
      </w:r>
      <w:r>
        <w:fldChar w:fldCharType="begin"/>
      </w:r>
      <w:r w:rsidR="00DA7707">
        <w:instrText xml:space="preserve"> ADDIN ZOTERO_ITEM CSL_CITATION {"citationID":"UYS1j5cN","properties":{"formattedCitation":"\\super 221\\nosupersub{}","plainCitation":"221","noteIndex":0},"citationItems":[{"id":2597,"uris":["http://zotero.org/users/6281125/items/K9EPFG55"],"uri":["http://zotero.org/users/6281125/items/K9EPFG55"],"itemData":{"id":2597,"type":"article-journal","abstract":"The Ensembl project (https://www.ensembl.org) annotates genomes and disseminates genomic data for vertebrate species. We create detailed and comprehensive annotation of gene structures, regulatory elements and variants, and enable comparative genomics by inferring the evolutionary history of genes and genomes. Our integrated genomic data are made available in a variety of ways, including genome browsers, search interfaces, specialist tools such as the Ensembl Variant Effect Predictor, download files and programmatic interfaces. Here, we present recent Ensembl developments including two new website portals. Ensembl Rapid Release (http://rapid.ensembl.org) is designed to provide core tools and services for genomes as soon as possible and has been deployed to support large biodiversity sequencing projects. Our SARS-CoV-2 genome browser (https://covid-19.ensembl.org) integrates our own annotation with publicly available genomic data from numerous sources to facilitate the use of genomics in the international scientific response to the COVID-19 pandemic. We also report on other updates to our annotation resources, tools and services. All Ensembl data and software are freely available without restriction.","container-title":"Nucleic Acids Research","DOI":"10.1093/nar/gkaa942","ISSN":"0305-1048","issue":"D1","journalAbbreviation":"Nucleic Acids Research","page":"D884-D891","title":"Ensembl 2021","volume":"49","author":[{"family":"Howe","given":"Kevin L"},{"family":"Achuthan","given":"Premanand"},{"family":"Allen","given":"James"},{"family":"Allen","given":"Jamie"},{"family":"Alvarez-Jarreta","given":"Jorge"},{"family":"Amode","given":"M Ridwan"},{"family":"Armean","given":"Irina M"},{"family":"Azov","given":"Andrey G"},{"family":"Bennett","given":"Ruth"},{"family":"Bhai","given":"Jyothish"},{"family":"Billis","given":"Konstantinos"},{"family":"Boddu","given":"Sanjay"},{"family":"Charkhchi","given":"Mehrnaz"},{"family":"Cummins","given":"Carla"},{"family":"Da Rin Fioretto","given":"Luca"},{"family":"Davidson","given":"Claire"},{"family":"Dodiya","given":"Kamalkumar"},{"family":"El Houdaigui","given":"Bilal"},{"family":"Fatima","given":"Reham"},{"family":"Gall","given":"Astrid"},{"family":"Garcia Giron","given":"Carlos"},{"family":"Grego","given":"Tiago"},{"family":"Guijarro-Clarke","given":"Cristina"},{"family":"Haggerty","given":"Leanne"},{"family":"Hemrom","given":"Anmol"},{"family":"Hourlier","given":"Thibaut"},{"family":"Izuogu","given":"Osagie G"},{"family":"Juettemann","given":"Thomas"},{"family":"Kaikala","given":"Vinay"},{"family":"Kay","given":"Mike"},{"family":"Lavidas","given":"Ilias"},{"family":"Le","given":"Tuan"},{"family":"Lemos","given":"Diana"},{"family":"Gonzalez Martinez","given":"Jose"},{"family":"Marugán","given":"José Carlos"},{"family":"Maurel","given":"Thomas"},{"family":"McMahon","given":"Aoife C"},{"family":"Mohanan","given":"Shamika"},{"family":"Moore","given":"Benjamin"},{"family":"Muffato","given":"Matthieu"},{"family":"Oheh","given":"Denye N"},{"family":"Paraschas","given":"Dimitrios"},{"family":"Parker","given":"Anne"},{"family":"Parton","given":"Andrew"},{"family":"Prosovetskaia","given":"Irina"},{"family":"Sakthivel","given":"Manoj P"},{"family":"Salam","given":"Ahamed I Abdul"},{"family":"Schmitt","given":"Bianca M"},{"family":"Schuilenburg","given":"Helen"},{"family":"Sheppard","given":"Dan"},{"family":"Steed","given":"Emily"},{"family":"Szpak","given":"Michal"},{"family":"Szuba","given":"Marek"},{"family":"Taylor","given":"Kieron"},{"family":"Thormann","given":"Anja"},{"family":"Threadgold","given":"Glen"},{"family":"Walts","given":"Brandon"},{"family":"Winterbottom","given":"Andrea"},{"family":"Chakiachvili","given":"Marc"},{"family":"Chaubal","given":"Ameya"},{"family":"De Silva","given":"Nishadi"},{"family":"Flint","given":"Bethany"},{"family":"Frankish","given":"Adam"},{"family":"Hunt","given":"Sarah E"},{"family":"IIsley","given":"Garth R"},{"family":"Langridge","given":"Nick"},{"family":"Loveland","given":"Jane E"},{"family":"Martin","given":"Fergal J"},{"family":"Mudge","given":"Jonathan M"},{"family":"Morales","given":"Joanella"},{"family":"Perry","given":"Emily"},{"family":"Ruffier","given":"Magali"},{"family":"Tate","given":"John"},{"family":"Thybert","given":"David"},{"family":"Trevanion","given":"Stephen J"},{"family":"Cunningham","given":"Fiona"},{"family":"Yates","given":"Andrew D"},{"family":"Zerbino","given":"Daniel R"},{"family":"Flicek","given":"Paul"}],"issued":{"date-parts":[["2021",1,8]]}}}],"schema":"https://github.com/citation-style-language/schema/raw/master/csl-citation.json"} </w:instrText>
      </w:r>
      <w:r>
        <w:fldChar w:fldCharType="separate"/>
      </w:r>
      <w:r w:rsidR="00DA7707" w:rsidRPr="00DA7707">
        <w:rPr>
          <w:vertAlign w:val="superscript"/>
        </w:rPr>
        <w:t>221</w:t>
      </w:r>
      <w:r>
        <w:fldChar w:fldCharType="end"/>
      </w:r>
      <w:r>
        <w:t xml:space="preserve"> and GenScript Real-time PCR (TaqMan) Primer and Probes Design Tool was utilized to design assays that met the following specifications:</w:t>
      </w:r>
    </w:p>
    <w:p w14:paraId="250B2B64" w14:textId="722244FD" w:rsidR="00E01A01" w:rsidRDefault="00E01A01" w:rsidP="00E01A01">
      <w:pPr>
        <w:pStyle w:val="ListParagraph"/>
        <w:numPr>
          <w:ilvl w:val="0"/>
          <w:numId w:val="43"/>
        </w:numPr>
      </w:pPr>
      <w:r>
        <w:t>Primers or probes designed to span exon (protein</w:t>
      </w:r>
      <w:r w:rsidR="004C425E">
        <w:t>-</w:t>
      </w:r>
      <w:r>
        <w:t>coding region) junctions to ensure sequence specificity</w:t>
      </w:r>
    </w:p>
    <w:p w14:paraId="388C5254" w14:textId="77777777" w:rsidR="00E01A01" w:rsidRDefault="00E01A01" w:rsidP="00E01A01">
      <w:pPr>
        <w:pStyle w:val="ListParagraph"/>
        <w:numPr>
          <w:ilvl w:val="0"/>
          <w:numId w:val="43"/>
        </w:numPr>
      </w:pPr>
      <w:r>
        <w:t>Primer melting temperature ~ 60</w:t>
      </w:r>
      <w:r>
        <w:rPr>
          <w:vertAlign w:val="superscript"/>
        </w:rPr>
        <w:t>o</w:t>
      </w:r>
      <w:r>
        <w:t>C and Probe melting temperature ~ 70</w:t>
      </w:r>
      <w:r>
        <w:rPr>
          <w:vertAlign w:val="superscript"/>
        </w:rPr>
        <w:t>o</w:t>
      </w:r>
      <w:r>
        <w:t>C</w:t>
      </w:r>
    </w:p>
    <w:p w14:paraId="7A3F206D" w14:textId="77777777" w:rsidR="00E01A01" w:rsidRDefault="00E01A01" w:rsidP="00E01A01">
      <w:pPr>
        <w:pStyle w:val="ListParagraph"/>
        <w:numPr>
          <w:ilvl w:val="0"/>
          <w:numId w:val="43"/>
        </w:numPr>
      </w:pPr>
      <w:r>
        <w:t>Absence of possible self-annealing sites (e.g. hairpins, primer dimers)</w:t>
      </w:r>
    </w:p>
    <w:p w14:paraId="1E2426B7" w14:textId="1B8EEC76" w:rsidR="008F08E3" w:rsidRPr="008F08E3" w:rsidRDefault="00E01A01" w:rsidP="00EC3153">
      <w:pPr>
        <w:ind w:firstLine="0"/>
      </w:pPr>
      <w:r>
        <w:t xml:space="preserve">Once designed, primers were run through the nBLAST tool (NCBI) to ensure unique sequence identity within the rabbit genome, such that cDNA from other genes will not be recognized and amplified. </w:t>
      </w:r>
    </w:p>
    <w:p w14:paraId="6FA17352" w14:textId="60749A5D" w:rsidR="005B6DEA" w:rsidRDefault="002D3E9A">
      <w:pPr>
        <w:pStyle w:val="Heading3"/>
      </w:pPr>
      <w:bookmarkStart w:id="78" w:name="_Toc88218543"/>
      <w:r>
        <w:t>Electrophoresis</w:t>
      </w:r>
      <w:bookmarkEnd w:id="78"/>
    </w:p>
    <w:p w14:paraId="7452D6F8" w14:textId="0FE8FDA3" w:rsidR="00FE40EC" w:rsidRPr="00FE40EC" w:rsidRDefault="00BB6BC4" w:rsidP="00FE40EC">
      <w:r>
        <w:t>Polymerase chain reaction</w:t>
      </w:r>
      <w:r w:rsidR="00765989">
        <w:t xml:space="preserve"> and gel electrophoresis </w:t>
      </w:r>
      <w:r>
        <w:t>were</w:t>
      </w:r>
      <w:r w:rsidR="00765989">
        <w:t xml:space="preserve"> performed to evaluate primer specificity. </w:t>
      </w:r>
      <w:r w:rsidR="00450421">
        <w:t xml:space="preserve">cDNA was amplified for </w:t>
      </w:r>
      <w:r w:rsidR="000F6422">
        <w:t>35</w:t>
      </w:r>
      <w:r w:rsidR="00450421">
        <w:t xml:space="preserve"> cycles </w:t>
      </w:r>
      <w:r w:rsidR="006B7C77">
        <w:t xml:space="preserve">at </w:t>
      </w:r>
      <w:r w:rsidR="000F6422">
        <w:t>95</w:t>
      </w:r>
      <w:r>
        <w:t>°C</w:t>
      </w:r>
      <w:r w:rsidR="000F6422">
        <w:t>, 60</w:t>
      </w:r>
      <w:r>
        <w:t xml:space="preserve">°C, and 72°C </w:t>
      </w:r>
      <w:r w:rsidR="006B7C77">
        <w:t xml:space="preserve">using standard protocol for the </w:t>
      </w:r>
      <w:r w:rsidR="00765989">
        <w:t xml:space="preserve">2X complete </w:t>
      </w:r>
      <w:r w:rsidR="00C41D14">
        <w:t xml:space="preserve">PCR </w:t>
      </w:r>
      <w:r w:rsidR="00765989">
        <w:t>Master Mix (Thermofisher)</w:t>
      </w:r>
      <w:r w:rsidR="00881599">
        <w:t>. Products were separated on</w:t>
      </w:r>
      <w:r w:rsidR="00C41D14">
        <w:t xml:space="preserve"> a</w:t>
      </w:r>
      <w:r w:rsidR="00881599">
        <w:t xml:space="preserve"> 2% agarose gel, at 120V, for </w:t>
      </w:r>
      <w:r w:rsidR="009E18B2">
        <w:t>approximately 45</w:t>
      </w:r>
      <w:r w:rsidR="00EC3153">
        <w:t>-</w:t>
      </w:r>
      <w:r w:rsidR="009E18B2">
        <w:t>minutes and visualized using a GelDoc</w:t>
      </w:r>
      <w:r w:rsidR="00E671E0">
        <w:t xml:space="preserve"> (BioRad). </w:t>
      </w:r>
      <w:r w:rsidR="004C425E">
        <w:t>The s</w:t>
      </w:r>
      <w:r w:rsidR="00E671E0">
        <w:t xml:space="preserve">ize was determined by </w:t>
      </w:r>
      <w:r w:rsidR="004C000D">
        <w:t>comparison to a 100bp protein ladder</w:t>
      </w:r>
      <w:r w:rsidR="005C57F2">
        <w:t xml:space="preserve">. </w:t>
      </w:r>
      <w:r w:rsidR="004C000D">
        <w:t xml:space="preserve">Primers that yielded products that were </w:t>
      </w:r>
      <w:r w:rsidR="007D3878">
        <w:t xml:space="preserve">of the incorrect size, or multiple products, were not determined to be specific to the cDNA sequence and were excluded from further use. </w:t>
      </w:r>
    </w:p>
    <w:p w14:paraId="62DC3776" w14:textId="6A0E1A54" w:rsidR="00413615" w:rsidRDefault="002D3E9A" w:rsidP="002234EF">
      <w:pPr>
        <w:pStyle w:val="Heading3"/>
      </w:pPr>
      <w:bookmarkStart w:id="79" w:name="_Toc88218544"/>
      <w:r>
        <w:t>Standard Curve</w:t>
      </w:r>
      <w:bookmarkEnd w:id="79"/>
    </w:p>
    <w:p w14:paraId="3A14FBAE" w14:textId="55FDADA5" w:rsidR="00191F19" w:rsidRPr="00CB70F7" w:rsidRDefault="00191F19" w:rsidP="00191F19">
      <w:r>
        <w:t>Once primer specificity was confirmed,</w:t>
      </w:r>
      <w:r w:rsidR="000C1635">
        <w:t xml:space="preserve"> the primer and probe combination (TaqMan assay)</w:t>
      </w:r>
      <w:r w:rsidR="009E695B">
        <w:t xml:space="preserve"> </w:t>
      </w:r>
      <w:r w:rsidR="00F27C4F">
        <w:t>were</w:t>
      </w:r>
      <w:r w:rsidR="00B531F0">
        <w:t xml:space="preserve"> evaluated for efficiency by </w:t>
      </w:r>
      <w:r w:rsidR="00072E80">
        <w:t>generat</w:t>
      </w:r>
      <w:r w:rsidR="00B531F0">
        <w:t xml:space="preserve">ing a standard curve. In order to compare between assays (e.g. </w:t>
      </w:r>
      <w:r w:rsidR="00072E80">
        <w:t xml:space="preserve">to </w:t>
      </w:r>
      <w:r w:rsidR="00B531F0">
        <w:t>perform relative expression analysis with a</w:t>
      </w:r>
      <w:r w:rsidR="004D03EF">
        <w:t xml:space="preserve"> </w:t>
      </w:r>
      <w:r w:rsidR="00B531F0">
        <w:t>control gene)</w:t>
      </w:r>
      <w:r w:rsidR="004C425E">
        <w:t>,</w:t>
      </w:r>
      <w:r w:rsidR="00B531F0">
        <w:t xml:space="preserve"> </w:t>
      </w:r>
      <w:r w:rsidR="00EC3153">
        <w:t>each assay must</w:t>
      </w:r>
      <w:r w:rsidR="00B531F0">
        <w:t xml:space="preserve"> have similar efficiency</w:t>
      </w:r>
      <w:r w:rsidR="00782919">
        <w:t>. For these experiments</w:t>
      </w:r>
      <w:r w:rsidR="00773FED">
        <w:t>,</w:t>
      </w:r>
      <w:r w:rsidR="00B105EF">
        <w:t xml:space="preserve"> </w:t>
      </w:r>
      <w:r w:rsidR="00782919">
        <w:t>an efficiency of 90 – 110%</w:t>
      </w:r>
      <w:r w:rsidR="00773FED">
        <w:t xml:space="preserve"> was considered </w:t>
      </w:r>
      <w:r w:rsidR="00B105EF">
        <w:t>optimal</w:t>
      </w:r>
      <w:r w:rsidR="00782919">
        <w:t>. A</w:t>
      </w:r>
      <w:r w:rsidR="00080F25">
        <w:t xml:space="preserve"> </w:t>
      </w:r>
      <w:r w:rsidR="004D03EF">
        <w:t>5-</w:t>
      </w:r>
      <w:r w:rsidR="00080F25">
        <w:t xml:space="preserve">point </w:t>
      </w:r>
      <w:r w:rsidR="00782919">
        <w:t>standard curve of cDNA was g</w:t>
      </w:r>
      <w:r w:rsidR="00080F25">
        <w:t>enerated at 1:5 dilution step</w:t>
      </w:r>
      <w:r w:rsidR="008A2627">
        <w:t>s</w:t>
      </w:r>
      <w:r w:rsidR="00072E80">
        <w:t xml:space="preserve"> an</w:t>
      </w:r>
      <w:r w:rsidR="00481D0E">
        <w:t>d added to identical</w:t>
      </w:r>
      <w:r w:rsidR="008A2627">
        <w:t xml:space="preserve"> wells containing </w:t>
      </w:r>
      <w:r w:rsidR="00481D0E">
        <w:t>Universal Fast qPCR master mix</w:t>
      </w:r>
      <w:r w:rsidR="00FB6027">
        <w:t xml:space="preserve"> (BioRad)</w:t>
      </w:r>
      <w:r w:rsidR="00481D0E">
        <w:t xml:space="preserve"> </w:t>
      </w:r>
      <w:r w:rsidR="008A2627">
        <w:t>and</w:t>
      </w:r>
      <w:r w:rsidR="00FB6027">
        <w:t xml:space="preserve"> </w:t>
      </w:r>
      <w:r w:rsidR="00173E36">
        <w:t>the TaqMan</w:t>
      </w:r>
      <w:r w:rsidR="00FB6027">
        <w:t xml:space="preserve"> assay of interest. Samples were plated in triplicate, and qPCR was performed for 40 cycles at</w:t>
      </w:r>
      <w:r w:rsidR="00173E36">
        <w:t xml:space="preserve"> </w:t>
      </w:r>
      <w:r w:rsidR="007879D0">
        <w:t xml:space="preserve">95°C, </w:t>
      </w:r>
      <w:r w:rsidR="00237703">
        <w:t xml:space="preserve">and </w:t>
      </w:r>
      <w:r w:rsidR="007879D0">
        <w:t>60°C</w:t>
      </w:r>
      <w:r w:rsidR="00237703">
        <w:t>.</w:t>
      </w:r>
      <w:r w:rsidR="00481D0E">
        <w:t xml:space="preserve"> </w:t>
      </w:r>
      <w:r w:rsidR="00CB70F7">
        <w:t xml:space="preserve">Sample efficiency was determined by plotting the </w:t>
      </w:r>
      <w:r w:rsidR="00D6378C">
        <w:t>fluorescence expression at each dilution and calculating their linear relationship</w:t>
      </w:r>
      <w:r w:rsidR="00825FBA">
        <w:t>.</w:t>
      </w:r>
      <w:r w:rsidR="00826C6F">
        <w:t xml:space="preserve"> </w:t>
      </w:r>
    </w:p>
    <w:p w14:paraId="7CBE22DC" w14:textId="35007FBA" w:rsidR="00413615" w:rsidRDefault="00413615">
      <w:pPr>
        <w:pStyle w:val="Heading3"/>
      </w:pPr>
      <w:bookmarkStart w:id="80" w:name="_Toc88218545"/>
      <w:r>
        <w:t>RNA Extraction</w:t>
      </w:r>
      <w:bookmarkEnd w:id="80"/>
      <w:r>
        <w:t xml:space="preserve"> </w:t>
      </w:r>
    </w:p>
    <w:p w14:paraId="6F30D07E" w14:textId="3772E7DB" w:rsidR="00826C6F" w:rsidRPr="00826C6F" w:rsidRDefault="00826C6F" w:rsidP="00826C6F">
      <w:r>
        <w:t xml:space="preserve">RNA was extracted from </w:t>
      </w:r>
      <w:r w:rsidR="00A81E63">
        <w:t>VF</w:t>
      </w:r>
      <w:r>
        <w:t xml:space="preserve"> samples</w:t>
      </w:r>
      <w:r w:rsidR="00A806A0">
        <w:t xml:space="preserve"> using the </w:t>
      </w:r>
      <w:r w:rsidR="00A81E63">
        <w:t>manufacturer’s</w:t>
      </w:r>
      <w:r w:rsidR="00A806A0">
        <w:t xml:space="preserve"> directions</w:t>
      </w:r>
      <w:r w:rsidR="00B2325B">
        <w:t xml:space="preserve"> for the </w:t>
      </w:r>
      <w:r w:rsidR="00A806A0">
        <w:t>Direct-Zol RNA kit</w:t>
      </w:r>
      <w:r w:rsidR="00B2325B">
        <w:t xml:space="preserve"> (Zymo Research). Samples were homogenized </w:t>
      </w:r>
      <w:r w:rsidR="00B97B1B">
        <w:t xml:space="preserve">in 500ul TRIzol reagent using a Precellys homogenizer coupled to the Cryolys </w:t>
      </w:r>
      <w:r w:rsidR="00F07C9F">
        <w:t>chamber</w:t>
      </w:r>
      <w:r w:rsidR="003659CA">
        <w:t xml:space="preserve"> with dry ice</w:t>
      </w:r>
      <w:r w:rsidR="00F07C9F">
        <w:t xml:space="preserve"> to </w:t>
      </w:r>
      <w:r w:rsidR="00DC111C">
        <w:t>prevent RNA degradation. Hom</w:t>
      </w:r>
      <w:r w:rsidR="00BF1903">
        <w:t>o</w:t>
      </w:r>
      <w:r w:rsidR="00DC111C">
        <w:t xml:space="preserve">genized samples were </w:t>
      </w:r>
      <w:r w:rsidR="001A72E3">
        <w:t>mixed with 100% ethanol and passed through a column to bind the RNA. Samples were then treated with DNase I, to prevent enzymatic contamination</w:t>
      </w:r>
      <w:r w:rsidR="008C3AA5">
        <w:t xml:space="preserve"> for 15</w:t>
      </w:r>
      <w:r w:rsidR="00A81E63">
        <w:t>-</w:t>
      </w:r>
      <w:r w:rsidR="008C3AA5">
        <w:t xml:space="preserve">minutes at </w:t>
      </w:r>
      <w:r w:rsidR="00A81E63">
        <w:t>RT</w:t>
      </w:r>
      <w:r w:rsidR="008C3AA5">
        <w:t xml:space="preserve">. Following this step, the RNA was washed with several proprietary solutions, before being </w:t>
      </w:r>
      <w:r w:rsidR="00841F5C">
        <w:t>el</w:t>
      </w:r>
      <w:r w:rsidR="00A81E63">
        <w:t>uted</w:t>
      </w:r>
      <w:r w:rsidR="008C3AA5">
        <w:t xml:space="preserve"> in DNase/RNase free water and nanodropped to determine concentration. </w:t>
      </w:r>
    </w:p>
    <w:p w14:paraId="60493117" w14:textId="5BFEFBC1" w:rsidR="00413615" w:rsidRDefault="00413615" w:rsidP="002234EF">
      <w:pPr>
        <w:pStyle w:val="Heading3"/>
      </w:pPr>
      <w:bookmarkStart w:id="81" w:name="_Toc88218546"/>
      <w:r>
        <w:t>Reverse Transcription</w:t>
      </w:r>
      <w:bookmarkEnd w:id="81"/>
    </w:p>
    <w:p w14:paraId="6DD7978E" w14:textId="680553AB" w:rsidR="00BF4053" w:rsidRDefault="00AB4A4E" w:rsidP="00AB4A4E">
      <w:r>
        <w:t>Reverse transcription was undertaken with the High Capacity cDNA kit (BioRad)</w:t>
      </w:r>
      <w:r w:rsidR="00D224A6">
        <w:t xml:space="preserve"> following </w:t>
      </w:r>
      <w:r w:rsidR="004C425E">
        <w:t xml:space="preserve">the </w:t>
      </w:r>
      <w:r w:rsidR="00B2303A">
        <w:t>manufacturer’s</w:t>
      </w:r>
      <w:r w:rsidR="00D224A6">
        <w:t xml:space="preserve"> instructions. </w:t>
      </w:r>
      <w:r w:rsidR="003563D8">
        <w:t xml:space="preserve">Briefly, RNA was added </w:t>
      </w:r>
      <w:r w:rsidR="007A165F">
        <w:t>in equal volume to a PCR mix containing random primers</w:t>
      </w:r>
      <w:r w:rsidR="00DC593C">
        <w:t xml:space="preserve"> and </w:t>
      </w:r>
      <w:r w:rsidR="00B2303A">
        <w:t>free-floating</w:t>
      </w:r>
      <w:r w:rsidR="00DC593C">
        <w:t xml:space="preserve"> nucleotides that</w:t>
      </w:r>
      <w:r w:rsidR="005A3BE9">
        <w:t xml:space="preserve"> </w:t>
      </w:r>
      <w:r w:rsidR="00DC593C">
        <w:t>could be recruited to replicate the complementary strand to the RNA (cDNA).</w:t>
      </w:r>
      <w:r w:rsidR="0032494B">
        <w:t xml:space="preserve"> The reaction was amplified at </w:t>
      </w:r>
      <w:r w:rsidR="007B539D">
        <w:t>60</w:t>
      </w:r>
      <w:r w:rsidR="00BF4053">
        <w:rPr>
          <w:vertAlign w:val="superscript"/>
        </w:rPr>
        <w:t>o</w:t>
      </w:r>
      <w:r w:rsidR="00BF4053">
        <w:t>C for 2</w:t>
      </w:r>
      <w:r w:rsidR="005A3BE9">
        <w:t>-</w:t>
      </w:r>
      <w:r w:rsidR="00BF4053">
        <w:t>hours and then stored at 4</w:t>
      </w:r>
      <w:r w:rsidR="00BF4053">
        <w:rPr>
          <w:vertAlign w:val="superscript"/>
        </w:rPr>
        <w:t>o</w:t>
      </w:r>
      <w:r w:rsidR="00BF4053">
        <w:t>C until</w:t>
      </w:r>
      <w:r w:rsidR="005A3BE9">
        <w:t xml:space="preserve"> </w:t>
      </w:r>
      <w:r w:rsidR="00BF4053">
        <w:t>use</w:t>
      </w:r>
      <w:r w:rsidR="005A3BE9">
        <w:t>d</w:t>
      </w:r>
      <w:r w:rsidR="00BF4053">
        <w:t xml:space="preserve">. </w:t>
      </w:r>
    </w:p>
    <w:p w14:paraId="572F4118" w14:textId="717F9F77" w:rsidR="00B96F54" w:rsidRDefault="009E06A6" w:rsidP="0067184F">
      <w:pPr>
        <w:pStyle w:val="Heading3"/>
      </w:pPr>
      <w:bookmarkStart w:id="82" w:name="_Toc88218547"/>
      <w:r>
        <w:t>Quantitative Polymerase Chain Reaction</w:t>
      </w:r>
      <w:bookmarkEnd w:id="82"/>
      <w:r>
        <w:t xml:space="preserve"> </w:t>
      </w:r>
    </w:p>
    <w:p w14:paraId="4DFBA736" w14:textId="60DEBB6D" w:rsidR="00BD16FD" w:rsidRDefault="009E06A6" w:rsidP="009E06A6">
      <w:r>
        <w:t>Quantitative</w:t>
      </w:r>
      <w:r w:rsidR="0067184F">
        <w:t xml:space="preserve"> </w:t>
      </w:r>
      <w:r w:rsidR="00A02598">
        <w:t xml:space="preserve">PCR was performed using the TaqMan Universal Fast Mix (ThermoFisher) at 95°C for 40 Cycles. </w:t>
      </w:r>
      <w:r w:rsidR="00B96F54">
        <w:t xml:space="preserve">Reactions were run in triplicate, with </w:t>
      </w:r>
      <w:r w:rsidR="004C425E">
        <w:t>five</w:t>
      </w:r>
      <w:r w:rsidR="00B96F54">
        <w:t xml:space="preserve"> samples per condition. Each sample was evaluated for the </w:t>
      </w:r>
      <w:r w:rsidR="00D317CA">
        <w:t xml:space="preserve">following transcripts: </w:t>
      </w:r>
      <w:r w:rsidR="00E00962" w:rsidRPr="00612B55">
        <w:t>M</w:t>
      </w:r>
      <w:r w:rsidR="00612B55">
        <w:t>u</w:t>
      </w:r>
      <w:r w:rsidR="00D317CA" w:rsidRPr="00612B55">
        <w:t xml:space="preserve">RF-1, </w:t>
      </w:r>
      <w:r w:rsidR="00612B55">
        <w:t>a</w:t>
      </w:r>
      <w:r w:rsidR="00D317CA" w:rsidRPr="00612B55">
        <w:t>trogin-1, and</w:t>
      </w:r>
      <w:r w:rsidR="0067184F" w:rsidRPr="0067184F">
        <w:rPr>
          <w:sz w:val="20"/>
          <w:szCs w:val="20"/>
        </w:rPr>
        <w:t xml:space="preserve"> </w:t>
      </w:r>
      <w:r w:rsidR="0067184F" w:rsidRPr="0067184F">
        <w:t>succinate dehydrogenase subunit A (SDH</w:t>
      </w:r>
      <w:r w:rsidR="002509FF">
        <w:t>A; the</w:t>
      </w:r>
      <w:r w:rsidR="00D317CA" w:rsidRPr="00612B55">
        <w:t xml:space="preserve"> internal</w:t>
      </w:r>
      <w:r w:rsidR="00D317CA">
        <w:t xml:space="preserve"> control). The sequences for primers and probes are found in </w:t>
      </w:r>
      <w:r w:rsidR="00225B9A">
        <w:t>T</w:t>
      </w:r>
      <w:r w:rsidR="00D317CA">
        <w:t xml:space="preserve">able </w:t>
      </w:r>
      <w:r w:rsidR="00225B9A">
        <w:t>3</w:t>
      </w:r>
      <w:r w:rsidR="003707B1">
        <w:t xml:space="preserve"> as well as </w:t>
      </w:r>
      <w:r w:rsidR="00B21645">
        <w:t xml:space="preserve">an illustration </w:t>
      </w:r>
      <w:r w:rsidR="00E60C8C">
        <w:t>of</w:t>
      </w:r>
      <w:r w:rsidR="00054BA7">
        <w:t xml:space="preserve"> </w:t>
      </w:r>
      <w:r w:rsidR="003F69A7">
        <w:t xml:space="preserve">transcript level quantification </w:t>
      </w:r>
      <w:r w:rsidR="00BD1139">
        <w:t>in</w:t>
      </w:r>
      <w:r w:rsidR="003707B1">
        <w:t xml:space="preserve"> qPCR</w:t>
      </w:r>
      <w:r w:rsidR="00E60C8C">
        <w:t xml:space="preserve"> (</w:t>
      </w:r>
      <w:r w:rsidR="00053D2C">
        <w:t>Figure 16).</w:t>
      </w:r>
    </w:p>
    <w:p w14:paraId="2D4DFEEC" w14:textId="77777777" w:rsidR="00053D2C" w:rsidRDefault="00053D2C" w:rsidP="0025123D">
      <w:pPr>
        <w:ind w:firstLine="0"/>
      </w:pPr>
    </w:p>
    <w:p w14:paraId="7D222E21" w14:textId="77777777" w:rsidR="00E60C8C" w:rsidRDefault="00BD16FD" w:rsidP="00E60C8C">
      <w:pPr>
        <w:keepNext/>
        <w:ind w:firstLine="0"/>
      </w:pPr>
      <w:r>
        <w:rPr>
          <w:noProof/>
        </w:rPr>
        <w:drawing>
          <wp:inline distT="0" distB="0" distL="0" distR="0" wp14:anchorId="288058C3" wp14:editId="69503341">
            <wp:extent cx="5943600" cy="2915920"/>
            <wp:effectExtent l="0" t="0" r="0" b="0"/>
            <wp:docPr id="56" name="Picture 5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application&#10;&#10;Description automatically generated"/>
                    <pic:cNvPicPr/>
                  </pic:nvPicPr>
                  <pic:blipFill>
                    <a:blip r:embed="rId35"/>
                    <a:stretch>
                      <a:fillRect/>
                    </a:stretch>
                  </pic:blipFill>
                  <pic:spPr>
                    <a:xfrm>
                      <a:off x="0" y="0"/>
                      <a:ext cx="5943600" cy="2915920"/>
                    </a:xfrm>
                    <a:prstGeom prst="rect">
                      <a:avLst/>
                    </a:prstGeom>
                  </pic:spPr>
                </pic:pic>
              </a:graphicData>
            </a:graphic>
          </wp:inline>
        </w:drawing>
      </w:r>
    </w:p>
    <w:p w14:paraId="7561C041" w14:textId="408AABB8" w:rsidR="007301E2" w:rsidRPr="00053D2C" w:rsidRDefault="00E60C8C" w:rsidP="00053D2C">
      <w:pPr>
        <w:pStyle w:val="Caption"/>
        <w:rPr>
          <w:vanish/>
          <w:specVanish/>
        </w:rPr>
      </w:pPr>
      <w:bookmarkStart w:id="83" w:name="_Toc88218609"/>
      <w:r>
        <w:t xml:space="preserve">Figure </w:t>
      </w:r>
      <w:r>
        <w:fldChar w:fldCharType="begin"/>
      </w:r>
      <w:r>
        <w:instrText xml:space="preserve"> SEQ Figure \* ARABIC </w:instrText>
      </w:r>
      <w:r>
        <w:fldChar w:fldCharType="separate"/>
      </w:r>
      <w:r w:rsidR="00CD04FC">
        <w:t>16</w:t>
      </w:r>
      <w:r>
        <w:fldChar w:fldCharType="end"/>
      </w:r>
      <w:r>
        <w:t>:</w:t>
      </w:r>
      <w:r w:rsidR="00E53515">
        <w:t xml:space="preserve"> </w:t>
      </w:r>
      <w:r>
        <w:t>q</w:t>
      </w:r>
      <w:r w:rsidRPr="001F4FD0">
        <w:t>PCR with dual labeled 5’FAM, 3’TAMRA probes</w:t>
      </w:r>
      <w:bookmarkEnd w:id="83"/>
    </w:p>
    <w:p w14:paraId="3580315A" w14:textId="7596BF82" w:rsidR="00053D2C" w:rsidRDefault="00053D2C" w:rsidP="00E53515">
      <w:pPr>
        <w:pStyle w:val="CaptionDescription"/>
      </w:pPr>
      <w:r>
        <w:t xml:space="preserve"> TaqMan assays are designed with primers that flank a region of the gene of interest, and a probe that anneals between these two primers. </w:t>
      </w:r>
      <w:r w:rsidRPr="00E53515">
        <w:rPr>
          <w:szCs w:val="20"/>
        </w:rPr>
        <w:t xml:space="preserve">The probe has a 5’ fluorescent dye attached (6-FAM) and 3’ quencher (TAMRA - which prevents 6-FAM from fluorescing when they are both attached to the probe). When the DNA is amplified by PCR it is transcribed from the 5’ end, releasing the 6-FAM dye which can then fluoresce. The fluorescence is quantified by the StepOne qPCR machine and can be used to determine relative expression to a control gene </w:t>
      </w:r>
      <w:r w:rsidR="00E53515">
        <w:rPr>
          <w:szCs w:val="20"/>
        </w:rPr>
        <w:t>SDHA</w:t>
      </w:r>
      <w:r w:rsidR="003E327F">
        <w:rPr>
          <w:szCs w:val="20"/>
        </w:rPr>
        <w:t>.</w:t>
      </w:r>
    </w:p>
    <w:p w14:paraId="4029F6BD" w14:textId="77777777" w:rsidR="0025123D" w:rsidRDefault="0025123D" w:rsidP="0025123D">
      <w:pPr>
        <w:ind w:firstLine="0"/>
      </w:pPr>
    </w:p>
    <w:p w14:paraId="0DFDA40D" w14:textId="34598099" w:rsidR="00225B9A" w:rsidRDefault="00225B9A" w:rsidP="00225B9A">
      <w:pPr>
        <w:pStyle w:val="Caption"/>
        <w:keepNext/>
      </w:pPr>
      <w:bookmarkStart w:id="84" w:name="_Toc88218591"/>
      <w:r>
        <w:t xml:space="preserve">Table </w:t>
      </w:r>
      <w:r>
        <w:fldChar w:fldCharType="begin"/>
      </w:r>
      <w:r>
        <w:instrText xml:space="preserve"> SEQ Table \* ARABIC </w:instrText>
      </w:r>
      <w:r>
        <w:fldChar w:fldCharType="separate"/>
      </w:r>
      <w:r w:rsidR="00CD04FC">
        <w:t>3</w:t>
      </w:r>
      <w:r>
        <w:fldChar w:fldCharType="end"/>
      </w:r>
      <w:r>
        <w:t>: Probe and primer sequences</w:t>
      </w:r>
      <w:bookmarkEnd w:id="84"/>
    </w:p>
    <w:p w14:paraId="5F8189C8" w14:textId="77777777" w:rsidR="00E739CF" w:rsidRDefault="00E739CF" w:rsidP="00E739CF">
      <w:pPr>
        <w:ind w:firstLine="0"/>
        <w:jc w:val="center"/>
      </w:pPr>
      <w:r>
        <w:rPr>
          <w:noProof/>
        </w:rPr>
        <w:drawing>
          <wp:inline distT="0" distB="0" distL="0" distR="0" wp14:anchorId="32FC2A9E" wp14:editId="70483FD3">
            <wp:extent cx="5943600" cy="1255395"/>
            <wp:effectExtent l="0" t="0" r="0" b="1905"/>
            <wp:docPr id="55" name="Picture 5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Table&#10;&#10;Description automatically generated"/>
                    <pic:cNvPicPr/>
                  </pic:nvPicPr>
                  <pic:blipFill>
                    <a:blip r:embed="rId36"/>
                    <a:stretch>
                      <a:fillRect/>
                    </a:stretch>
                  </pic:blipFill>
                  <pic:spPr>
                    <a:xfrm>
                      <a:off x="0" y="0"/>
                      <a:ext cx="5943600" cy="1255395"/>
                    </a:xfrm>
                    <a:prstGeom prst="rect">
                      <a:avLst/>
                    </a:prstGeom>
                  </pic:spPr>
                </pic:pic>
              </a:graphicData>
            </a:graphic>
          </wp:inline>
        </w:drawing>
      </w:r>
    </w:p>
    <w:p w14:paraId="2F066305" w14:textId="77777777" w:rsidR="00E739CF" w:rsidRDefault="00E739CF" w:rsidP="00E739CF">
      <w:pPr>
        <w:ind w:firstLine="0"/>
        <w:jc w:val="center"/>
      </w:pPr>
    </w:p>
    <w:p w14:paraId="76AD3393" w14:textId="6C3F3EC6" w:rsidR="0071561B" w:rsidRPr="00CD25CC" w:rsidRDefault="0071561B" w:rsidP="009E06A6">
      <w:r>
        <w:t>Results were analyzed using StepOne software (Thermo</w:t>
      </w:r>
      <w:r w:rsidR="00972107">
        <w:t>F</w:t>
      </w:r>
      <w:r>
        <w:t xml:space="preserve">isher) and the </w:t>
      </w:r>
      <w:r w:rsidR="00972107" w:rsidRPr="003B4A97">
        <w:rPr>
          <w:color w:val="000000" w:themeColor="text1"/>
        </w:rPr>
        <w:t>2</w:t>
      </w:r>
      <w:r w:rsidR="00972107" w:rsidRPr="003B4A97">
        <w:rPr>
          <w:color w:val="000000" w:themeColor="text1"/>
          <w:vertAlign w:val="superscript"/>
        </w:rPr>
        <w:t>-ΔΔ</w:t>
      </w:r>
      <w:r w:rsidR="00972107">
        <w:rPr>
          <w:color w:val="000000" w:themeColor="text1"/>
          <w:vertAlign w:val="superscript"/>
        </w:rPr>
        <w:t>Ct</w:t>
      </w:r>
      <w:r w:rsidR="00972107">
        <w:rPr>
          <w:color w:val="000000" w:themeColor="text1"/>
        </w:rPr>
        <w:t xml:space="preserve"> </w:t>
      </w:r>
      <w:r w:rsidR="00CD25CC">
        <w:t xml:space="preserve">method. Samples </w:t>
      </w:r>
      <w:r w:rsidR="007B00E1">
        <w:t>w</w:t>
      </w:r>
      <w:r w:rsidR="00CD25CC">
        <w:t xml:space="preserve">ere first evaluated for internal </w:t>
      </w:r>
      <w:r w:rsidR="00A17177">
        <w:t xml:space="preserve">consistency between replicates, and anomalous data points were excluded. Next, the means of </w:t>
      </w:r>
      <w:r w:rsidR="003E0D5E">
        <w:t>e</w:t>
      </w:r>
      <w:r w:rsidR="00A17177">
        <w:t>ach gene</w:t>
      </w:r>
      <w:r w:rsidR="003E0D5E">
        <w:t xml:space="preserve"> of interest were compared </w:t>
      </w:r>
      <w:r w:rsidR="00144EDC">
        <w:t xml:space="preserve">within </w:t>
      </w:r>
      <w:r w:rsidR="004C425E">
        <w:t xml:space="preserve">the </w:t>
      </w:r>
      <w:r w:rsidR="002B5B0A">
        <w:t>sample</w:t>
      </w:r>
      <w:r w:rsidR="00144EDC">
        <w:t xml:space="preserve"> to generate a cycle threshold (Ct) for </w:t>
      </w:r>
      <w:r w:rsidR="004C425E">
        <w:t xml:space="preserve">the </w:t>
      </w:r>
      <w:r w:rsidR="00144EDC">
        <w:t>onset of detection of fluorescence</w:t>
      </w:r>
      <w:r w:rsidR="00CC7373">
        <w:t xml:space="preserve">. </w:t>
      </w:r>
      <w:r w:rsidR="00885DA7">
        <w:t xml:space="preserve">This is then averaged across samples within </w:t>
      </w:r>
      <w:r w:rsidR="004C425E">
        <w:t xml:space="preserve">the </w:t>
      </w:r>
      <w:r w:rsidR="00885DA7">
        <w:t>condition to provide an average delta C</w:t>
      </w:r>
      <w:r w:rsidR="00306811">
        <w:t>t</w:t>
      </w:r>
      <w:r w:rsidR="00A620A5">
        <w:t>. Next, the Ct of the</w:t>
      </w:r>
      <w:r w:rsidR="00C67AAE">
        <w:t xml:space="preserve"> internal</w:t>
      </w:r>
      <w:r w:rsidR="00E24C24">
        <w:t xml:space="preserve"> </w:t>
      </w:r>
      <w:r w:rsidR="00A620A5">
        <w:t>contro</w:t>
      </w:r>
      <w:r w:rsidR="006D4442">
        <w:t>l</w:t>
      </w:r>
      <w:r w:rsidR="007B00E1">
        <w:t xml:space="preserve"> group</w:t>
      </w:r>
      <w:r w:rsidR="00C67AAE">
        <w:t xml:space="preserve"> (SDHA) </w:t>
      </w:r>
      <w:r w:rsidR="00244524">
        <w:t>i</w:t>
      </w:r>
      <w:r w:rsidR="00CC7373">
        <w:t xml:space="preserve">s subtracted from the </w:t>
      </w:r>
      <w:r w:rsidR="00DB4B89">
        <w:t xml:space="preserve">Ct of the </w:t>
      </w:r>
      <w:r w:rsidR="007B00E1">
        <w:t>gene of interest</w:t>
      </w:r>
      <w:r w:rsidR="00244524">
        <w:t xml:space="preserve"> </w:t>
      </w:r>
      <w:r w:rsidR="00DB4B89">
        <w:t>to derive</w:t>
      </w:r>
      <w:r w:rsidR="00B84F86">
        <w:t xml:space="preserve"> </w:t>
      </w:r>
      <w:r w:rsidR="00C67AAE">
        <w:t xml:space="preserve">a </w:t>
      </w:r>
      <w:r w:rsidR="005C35B7">
        <w:t>normalized</w:t>
      </w:r>
      <w:r w:rsidR="00B84F86">
        <w:t xml:space="preserve"> </w:t>
      </w:r>
      <w:r w:rsidR="00972107" w:rsidRPr="00972107">
        <w:rPr>
          <w:color w:val="000000" w:themeColor="text1"/>
        </w:rPr>
        <w:t>ΔΔCt</w:t>
      </w:r>
      <w:r w:rsidR="00972107">
        <w:t>.</w:t>
      </w:r>
      <w:r w:rsidR="00CF45BD">
        <w:t xml:space="preserve"> </w:t>
      </w:r>
      <w:r w:rsidR="00CE6450">
        <w:t xml:space="preserve">Finally, </w:t>
      </w:r>
      <w:r w:rsidR="00800DCB">
        <w:t xml:space="preserve">2 is raised to the power of </w:t>
      </w:r>
      <w:r w:rsidR="00DA2C84">
        <w:t>-</w:t>
      </w:r>
      <w:r w:rsidR="00800DCB">
        <w:t xml:space="preserve"> </w:t>
      </w:r>
      <w:r w:rsidR="00972107" w:rsidRPr="00972107">
        <w:rPr>
          <w:color w:val="000000" w:themeColor="text1"/>
        </w:rPr>
        <w:t>ΔΔCt</w:t>
      </w:r>
      <w:r w:rsidR="00972107">
        <w:t xml:space="preserve"> </w:t>
      </w:r>
      <w:r w:rsidR="00800DCB">
        <w:t>to calculate fold change of expression.</w:t>
      </w:r>
    </w:p>
    <w:p w14:paraId="0F27FA8B" w14:textId="49B27608" w:rsidR="0076791D" w:rsidRDefault="0076791D" w:rsidP="0076791D">
      <w:pPr>
        <w:pStyle w:val="Heading1"/>
      </w:pPr>
      <w:bookmarkStart w:id="85" w:name="_Toc88218548"/>
      <w:r>
        <w:t>Results</w:t>
      </w:r>
      <w:bookmarkEnd w:id="85"/>
    </w:p>
    <w:p w14:paraId="0E2845D9" w14:textId="78A7B5AB" w:rsidR="00832CE6" w:rsidRDefault="008750A1" w:rsidP="00267923">
      <w:r w:rsidRPr="004C7B3E">
        <w:t xml:space="preserve">All statistical analyses were calculated using </w:t>
      </w:r>
      <w:r w:rsidR="00B15A3D" w:rsidRPr="004C7B3E">
        <w:t>IBM SPSS Statistics</w:t>
      </w:r>
      <w:r w:rsidRPr="004C7B3E">
        <w:t xml:space="preserve"> </w:t>
      </w:r>
      <w:r w:rsidR="00B15A3D" w:rsidRPr="004C7B3E">
        <w:t>V</w:t>
      </w:r>
      <w:r w:rsidRPr="004C7B3E">
        <w:t>.</w:t>
      </w:r>
      <w:r w:rsidR="00B15A3D" w:rsidRPr="004C7B3E">
        <w:t>26</w:t>
      </w:r>
      <w:r w:rsidR="003C4AAC" w:rsidRPr="004C7B3E">
        <w:t xml:space="preserve"> (SPSS, INC, C</w:t>
      </w:r>
      <w:r w:rsidR="006E420E">
        <w:t>hicago,</w:t>
      </w:r>
      <w:r w:rsidR="003C4AAC" w:rsidRPr="004C7B3E">
        <w:t xml:space="preserve"> IL)</w:t>
      </w:r>
      <w:r w:rsidR="00B15A3D" w:rsidRPr="004C7B3E">
        <w:t xml:space="preserve"> and GraphPad Prism</w:t>
      </w:r>
      <w:r w:rsidR="00280C96" w:rsidRPr="004C7B3E">
        <w:t xml:space="preserve"> V</w:t>
      </w:r>
      <w:r w:rsidR="000409CF" w:rsidRPr="004C7B3E">
        <w:t>.7.0 (</w:t>
      </w:r>
      <w:r w:rsidR="00672EEC" w:rsidRPr="004C7B3E">
        <w:t xml:space="preserve">GraphPad Software, </w:t>
      </w:r>
      <w:r w:rsidR="000409CF" w:rsidRPr="004C7B3E">
        <w:t>San Diego, California</w:t>
      </w:r>
      <w:r w:rsidR="00672EEC" w:rsidRPr="004C7B3E">
        <w:t>,</w:t>
      </w:r>
      <w:r w:rsidR="000409CF" w:rsidRPr="004C7B3E">
        <w:t xml:space="preserve"> USA</w:t>
      </w:r>
      <w:r w:rsidR="00B15A3D" w:rsidRPr="004C7B3E">
        <w:t>)</w:t>
      </w:r>
      <w:r w:rsidR="007D0078">
        <w:t xml:space="preserve"> with</w:t>
      </w:r>
      <w:r w:rsidR="00314EF1">
        <w:t xml:space="preserve"> a</w:t>
      </w:r>
      <w:r w:rsidR="007D0078">
        <w:t xml:space="preserve"> significant</w:t>
      </w:r>
      <w:r w:rsidR="00314EF1">
        <w:t xml:space="preserve"> alpha level </w:t>
      </w:r>
      <w:r w:rsidR="007D0078">
        <w:t xml:space="preserve">determined at </w:t>
      </w:r>
      <w:r w:rsidR="00314EF1" w:rsidRPr="00404A5A">
        <w:t>p</w:t>
      </w:r>
      <w:r w:rsidR="00314EF1" w:rsidRPr="004C7B3E">
        <w:t xml:space="preserve"> &lt; 0.05</w:t>
      </w:r>
      <w:r w:rsidR="007D0078">
        <w:t>.</w:t>
      </w:r>
    </w:p>
    <w:p w14:paraId="033A3AD3" w14:textId="1F2C400B" w:rsidR="00832CE6" w:rsidRDefault="0054553F" w:rsidP="00267923">
      <w:r w:rsidRPr="004C7B3E">
        <w:t>To establish inter-rater reliability for localization ratings, a weighted Cohen's kappa (ĸ</w:t>
      </w:r>
      <w:r w:rsidRPr="004C7B3E">
        <w:rPr>
          <w:i/>
          <w:vertAlign w:val="subscript"/>
        </w:rPr>
        <w:t>w</w:t>
      </w:r>
      <w:r w:rsidRPr="004C7B3E">
        <w:rPr>
          <w:color w:val="222222"/>
          <w:shd w:val="clear" w:color="auto" w:fill="FFFFFF"/>
        </w:rPr>
        <w:t>)</w:t>
      </w:r>
      <w:r w:rsidRPr="004C7B3E">
        <w:t xml:space="preserve"> was used. The weighted extension of the kappa coefficient was necessary because this statistic considers the degree of disagreement between observers, unlike the traditional kappa which treats any slight disagreement between raters as total disagreement.</w:t>
      </w:r>
      <w:r w:rsidRPr="004C7B3E">
        <w:fldChar w:fldCharType="begin"/>
      </w:r>
      <w:r w:rsidR="00DA7707">
        <w:instrText xml:space="preserve"> ADDIN ZOTERO_ITEM CSL_CITATION {"citationID":"nTgKkSVj","properties":{"formattedCitation":"\\super 222\\nosupersub{}","plainCitation":"222","noteIndex":0},"citationItems":[{"id":1876,"uris":["http://zotero.org/users/6281125/items/YXHHUIRI"],"uri":["http://zotero.org/users/6281125/items/YXHHUIRI"],"itemData":{"id":1876,"type":"article-journal","abstract":"A previously described coefficient of agreement for nominal scales, kappa, treats all disagreements equally. A generalization to weighted kappa (Kw) is presented. The Kw provides for the incorpation of ratio-scaled degrees of disagreement (or agreement) to each of the cells of the k * k table of joint nominal scale assignments such that disagreements of varying gravity (or agreements of varying degree) are weighted accordingly. Although providing for partial credit, Kw is fully chance corrected. Its sampling characteristics and procedures for hypothesis testing and setting confidence limits are given. Under certain conditions, Kw equals product-moment r. The use of unequal weights for symmetrical cells makes Kw suitable as a measure of validity. (PsycINFO Database Record (c) 2016 APA, all rights reserved)","container-title":"Psychological Bulletin","DOI":"10.1037/h0026256","ISSN":"1939-1455(Electronic),0033-2909(Print)","issue":"4","note":"publisher-place: US\npublisher: American Psychological Association","page":"213-220","source":"APA PsycNET","title":"Weighted kappa: Nominal scale agreement provision for scaled disagreement or partial credit","title-short":"Weighted kappa","volume":"70","author":[{"family":"Cohen","given":"Jacob"}],"issued":{"date-parts":[["1968"]]}}}],"schema":"https://github.com/citation-style-language/schema/raw/master/csl-citation.json"} </w:instrText>
      </w:r>
      <w:r w:rsidRPr="004C7B3E">
        <w:fldChar w:fldCharType="separate"/>
      </w:r>
      <w:r w:rsidR="00DA7707" w:rsidRPr="00DA7707">
        <w:rPr>
          <w:vertAlign w:val="superscript"/>
        </w:rPr>
        <w:t>222</w:t>
      </w:r>
      <w:r w:rsidRPr="004C7B3E">
        <w:fldChar w:fldCharType="end"/>
      </w:r>
      <w:r w:rsidRPr="004C7B3E">
        <w:t xml:space="preserve"> Samples were considered positive for the presence of protein if both raters identified positive labeling in the tissue of interest. </w:t>
      </w:r>
      <w:r w:rsidRPr="004C7B3E">
        <w:rPr>
          <w:color w:val="222222"/>
          <w:shd w:val="clear" w:color="auto" w:fill="FFFFFF"/>
        </w:rPr>
        <w:t xml:space="preserve">The </w:t>
      </w:r>
      <w:r w:rsidRPr="004C7B3E">
        <w:t>ĸ</w:t>
      </w:r>
      <w:r w:rsidRPr="004C7B3E">
        <w:rPr>
          <w:i/>
          <w:vertAlign w:val="subscript"/>
        </w:rPr>
        <w:t>w</w:t>
      </w:r>
      <w:r w:rsidRPr="004C7B3E">
        <w:rPr>
          <w:color w:val="222222"/>
          <w:shd w:val="clear" w:color="auto" w:fill="FFFFFF"/>
        </w:rPr>
        <w:t xml:space="preserve"> was 0.62 (p &lt; 0.01), indicating </w:t>
      </w:r>
      <w:r w:rsidR="00A70485">
        <w:rPr>
          <w:color w:val="222222"/>
          <w:shd w:val="clear" w:color="auto" w:fill="FFFFFF"/>
        </w:rPr>
        <w:t>moderate-substantial</w:t>
      </w:r>
      <w:r w:rsidRPr="004C7B3E">
        <w:rPr>
          <w:color w:val="222222"/>
          <w:shd w:val="clear" w:color="auto" w:fill="FFFFFF"/>
        </w:rPr>
        <w:t xml:space="preserve"> agreement between raters as determined by Viera and Garret.</w:t>
      </w:r>
      <w:r w:rsidRPr="004C7B3E">
        <w:rPr>
          <w:color w:val="222222"/>
          <w:shd w:val="clear" w:color="auto" w:fill="FFFFFF"/>
        </w:rPr>
        <w:fldChar w:fldCharType="begin"/>
      </w:r>
      <w:r w:rsidR="00DA7707">
        <w:rPr>
          <w:color w:val="222222"/>
          <w:shd w:val="clear" w:color="auto" w:fill="FFFFFF"/>
        </w:rPr>
        <w:instrText xml:space="preserve"> ADDIN ZOTERO_ITEM CSL_CITATION {"citationID":"6bsjOakM","properties":{"formattedCitation":"\\super 223\\nosupersub{}","plainCitation":"223","noteIndex":0},"citationItems":[{"id":1879,"uris":["http://zotero.org/users/6281125/items/8CL8YVNB"],"uri":["http://zotero.org/users/6281125/items/8CL8YVNB"],"itemData":{"id":1879,"type":"article-journal","container-title":"Family Medicine","issue":"5","language":"en","page":"360-363","source":"Zotero","title":"Understanding interobserver agreement: The kappa statistic","volume":"37","author":[{"family":"Viera","given":"Anthony J"},{"family":"Garrett","given":"Joanne M"}],"issued":{"date-parts":[["2005"]]}}}],"schema":"https://github.com/citation-style-language/schema/raw/master/csl-citation.json"} </w:instrText>
      </w:r>
      <w:r w:rsidRPr="004C7B3E">
        <w:rPr>
          <w:color w:val="222222"/>
          <w:shd w:val="clear" w:color="auto" w:fill="FFFFFF"/>
        </w:rPr>
        <w:fldChar w:fldCharType="separate"/>
      </w:r>
      <w:r w:rsidR="00DA7707" w:rsidRPr="00DA7707">
        <w:rPr>
          <w:vertAlign w:val="superscript"/>
        </w:rPr>
        <w:t>223</w:t>
      </w:r>
      <w:r w:rsidRPr="004C7B3E">
        <w:rPr>
          <w:color w:val="222222"/>
          <w:shd w:val="clear" w:color="auto" w:fill="FFFFFF"/>
        </w:rPr>
        <w:fldChar w:fldCharType="end"/>
      </w:r>
    </w:p>
    <w:p w14:paraId="5E66F8AE" w14:textId="0939BEB3" w:rsidR="00B15A3D" w:rsidRPr="004C7B3E" w:rsidRDefault="00375055" w:rsidP="00C60513">
      <w:r>
        <w:t>F</w:t>
      </w:r>
      <w:r w:rsidR="00832CE6">
        <w:t xml:space="preserve">or </w:t>
      </w:r>
      <w:r>
        <w:t>variables</w:t>
      </w:r>
      <w:r w:rsidR="00832CE6">
        <w:t xml:space="preserve"> attained from rabbits </w:t>
      </w:r>
      <w:r w:rsidR="00294AAC">
        <w:t>receiving</w:t>
      </w:r>
      <w:r w:rsidR="00832CE6">
        <w:t xml:space="preserve"> intramuscular </w:t>
      </w:r>
      <w:r w:rsidR="00CF0619">
        <w:t xml:space="preserve">injections, </w:t>
      </w:r>
      <w:r w:rsidR="004145A1">
        <w:t>t</w:t>
      </w:r>
      <w:r w:rsidR="00043BDD">
        <w:t xml:space="preserve">wo-way </w:t>
      </w:r>
      <w:r w:rsidR="00FA04BF">
        <w:t xml:space="preserve">repeated-measures </w:t>
      </w:r>
      <w:r w:rsidR="00043BDD">
        <w:t>analys</w:t>
      </w:r>
      <w:r w:rsidR="00AC0D7F">
        <w:t>e</w:t>
      </w:r>
      <w:r w:rsidR="00043BDD">
        <w:t>s of variance</w:t>
      </w:r>
      <w:r w:rsidR="008925D7">
        <w:t xml:space="preserve"> (ANOVA)</w:t>
      </w:r>
      <w:r w:rsidR="00294AAC">
        <w:t>s</w:t>
      </w:r>
      <w:r w:rsidR="00933AC9">
        <w:t xml:space="preserve"> with </w:t>
      </w:r>
      <w:r w:rsidR="006B07DE">
        <w:t>Sidak</w:t>
      </w:r>
      <w:r w:rsidR="00AC0D7F">
        <w:t>’s multiple comparisons</w:t>
      </w:r>
      <w:r w:rsidR="00FA04BF">
        <w:t xml:space="preserve"> tests and two-way ANOVAs with Tukey’s multiple comparisons</w:t>
      </w:r>
      <w:r w:rsidR="00AC0D7F">
        <w:t xml:space="preserve"> tests</w:t>
      </w:r>
      <w:r w:rsidR="008925D7">
        <w:t xml:space="preserve"> </w:t>
      </w:r>
      <w:r w:rsidR="00294AAC">
        <w:t>were</w:t>
      </w:r>
      <w:r w:rsidR="008925D7">
        <w:t xml:space="preserve"> conducted</w:t>
      </w:r>
      <w:r w:rsidR="00B15A3D" w:rsidRPr="004C7B3E">
        <w:t>.</w:t>
      </w:r>
      <w:r w:rsidR="00191161" w:rsidRPr="004C7B3E">
        <w:t xml:space="preserve"> </w:t>
      </w:r>
      <w:r w:rsidR="00AC0D7F">
        <w:t xml:space="preserve">For variables attained from rabbits </w:t>
      </w:r>
      <w:r w:rsidR="00CF0619">
        <w:t>receiving</w:t>
      </w:r>
      <w:r w:rsidR="00AC0D7F">
        <w:t xml:space="preserve"> intracordal </w:t>
      </w:r>
      <w:r w:rsidR="00CF0619">
        <w:t>injections,</w:t>
      </w:r>
      <w:r w:rsidR="00DA16E9">
        <w:t xml:space="preserve"> one-way ANOVAs with</w:t>
      </w:r>
      <w:r w:rsidR="00DA16E9" w:rsidRPr="00DA16E9">
        <w:t xml:space="preserve"> </w:t>
      </w:r>
      <w:r w:rsidR="00DA16E9">
        <w:t xml:space="preserve">Tukey’s multiple comparisons tests were conducted. </w:t>
      </w:r>
      <w:r w:rsidR="00C60513" w:rsidRPr="000323B5">
        <w:t xml:space="preserve">If assumptions for parametric analysis </w:t>
      </w:r>
      <w:r w:rsidR="00C60513">
        <w:t>were</w:t>
      </w:r>
      <w:r w:rsidR="00C60513" w:rsidRPr="000323B5">
        <w:t xml:space="preserve"> not met, an analogous non-parametric Kruskal-Wallis </w:t>
      </w:r>
      <w:r w:rsidR="00C60513">
        <w:t>with Dunn’s multiple comparison tests were used.</w:t>
      </w:r>
      <w:r w:rsidR="006E420E">
        <w:t xml:space="preserve"> Confidence intervals (CI) of 95% </w:t>
      </w:r>
      <w:r w:rsidR="00DD5BD5">
        <w:t xml:space="preserve">were </w:t>
      </w:r>
      <w:r w:rsidR="006E420E">
        <w:t>reported with statistically significant findings.</w:t>
      </w:r>
      <w:r w:rsidR="00C60513">
        <w:t xml:space="preserve"> </w:t>
      </w:r>
      <w:r w:rsidR="00FB216D">
        <w:t xml:space="preserve">The practical significance of statistically significant </w:t>
      </w:r>
      <w:r w:rsidR="00CF0619">
        <w:t>findings</w:t>
      </w:r>
      <w:r w:rsidR="00FB216D">
        <w:t xml:space="preserve"> w</w:t>
      </w:r>
      <w:r w:rsidR="00DC53B2">
        <w:t>as</w:t>
      </w:r>
      <w:r w:rsidR="00FB216D">
        <w:t xml:space="preserve"> evaluated using </w:t>
      </w:r>
      <w:r w:rsidR="00CF0619">
        <w:t xml:space="preserve">Cohen’s d and f </w:t>
      </w:r>
      <w:r w:rsidR="00FB216D">
        <w:t>effect size measurements</w:t>
      </w:r>
      <w:r w:rsidR="009751F4">
        <w:t xml:space="preserve">. </w:t>
      </w:r>
    </w:p>
    <w:p w14:paraId="6CDE2394" w14:textId="43058714" w:rsidR="003B6802" w:rsidRDefault="008C46D6" w:rsidP="003D56CF">
      <w:pPr>
        <w:pStyle w:val="Heading2"/>
      </w:pPr>
      <w:bookmarkStart w:id="86" w:name="_Toc88218549"/>
      <w:bookmarkStart w:id="87" w:name="_Hlk79437526"/>
      <w:r>
        <w:t xml:space="preserve">Localization of Integral </w:t>
      </w:r>
      <w:r w:rsidR="00295CCF">
        <w:t>M</w:t>
      </w:r>
      <w:r>
        <w:t xml:space="preserve">embrane Proteins in Human </w:t>
      </w:r>
      <w:r w:rsidR="002A25B1">
        <w:t>and</w:t>
      </w:r>
      <w:r>
        <w:t xml:space="preserve"> Rabbit Vocal Folds</w:t>
      </w:r>
      <w:bookmarkEnd w:id="86"/>
      <w:r>
        <w:t xml:space="preserve"> </w:t>
      </w:r>
    </w:p>
    <w:p w14:paraId="461BE5E7" w14:textId="2D075F7A" w:rsidR="002A25B1" w:rsidRDefault="002A25B1" w:rsidP="002A25B1">
      <w:pPr>
        <w:pStyle w:val="Heading3"/>
      </w:pPr>
      <w:bookmarkStart w:id="88" w:name="_Toc88218550"/>
      <w:bookmarkEnd w:id="87"/>
      <w:r>
        <w:t>Aquaporin 1</w:t>
      </w:r>
      <w:bookmarkEnd w:id="88"/>
    </w:p>
    <w:p w14:paraId="0EE69B6C" w14:textId="50694DAC" w:rsidR="008864F1" w:rsidRPr="008864F1" w:rsidRDefault="00275581" w:rsidP="00275581">
      <w:pPr>
        <w:ind w:right="-14"/>
      </w:pPr>
      <w:r w:rsidRPr="00EB79F0">
        <w:t>The integral transport protein AQP1 was present in the basal epithelium/basement membrane, superficial LP</w:t>
      </w:r>
      <w:r w:rsidR="00DC53B2">
        <w:t>,</w:t>
      </w:r>
      <w:r w:rsidRPr="00EB79F0">
        <w:t xml:space="preserve"> and deep/intermediate LP of both species (Figure </w:t>
      </w:r>
      <w:r w:rsidR="00ED0274">
        <w:t>16</w:t>
      </w:r>
      <w:r w:rsidRPr="00EB79F0">
        <w:t xml:space="preserve">A and B). Out of the 13 rabbit samples positive for AQP1 labeling, eight (62%) had positive labeling in the basal epithelium/basement membrane, 12 (92%) in the superficial LP, and 13 (100%) in the deep LP. Out of the seven human samples positive for labeling, four (57%) had positive labeling in the basal epithelium/basement membrane, seven (100%) in the superficial LP, and six (85%) in the intermediate LP. </w:t>
      </w:r>
    </w:p>
    <w:p w14:paraId="29BCCCC1" w14:textId="37329B8C" w:rsidR="00275581" w:rsidRDefault="00275581">
      <w:pPr>
        <w:pStyle w:val="Heading3"/>
      </w:pPr>
      <w:bookmarkStart w:id="89" w:name="_Toc88218551"/>
      <w:r>
        <w:t>Aquaporin 4</w:t>
      </w:r>
      <w:bookmarkEnd w:id="89"/>
      <w:r>
        <w:t xml:space="preserve"> </w:t>
      </w:r>
    </w:p>
    <w:p w14:paraId="2B862D37" w14:textId="30E26CAC" w:rsidR="009B3B0A" w:rsidRPr="009B3B0A" w:rsidRDefault="009B3B0A" w:rsidP="009B3B0A">
      <w:pPr>
        <w:ind w:right="-14"/>
        <w:rPr>
          <w:rFonts w:cstheme="minorHAnsi"/>
        </w:rPr>
      </w:pPr>
      <w:r w:rsidRPr="00667C76">
        <w:rPr>
          <w:rFonts w:cstheme="minorHAnsi"/>
        </w:rPr>
        <w:t xml:space="preserve">Aquaporin 4 was present in the apical epithelium, basal epithelium/basement membrane, superficial LP of both species (Figure </w:t>
      </w:r>
      <w:r w:rsidR="00091151">
        <w:rPr>
          <w:rFonts w:cstheme="minorHAnsi"/>
        </w:rPr>
        <w:t>1</w:t>
      </w:r>
      <w:r w:rsidR="00ED0274">
        <w:rPr>
          <w:rFonts w:cstheme="minorHAnsi"/>
        </w:rPr>
        <w:t>6</w:t>
      </w:r>
      <w:r w:rsidRPr="00667C76">
        <w:rPr>
          <w:rFonts w:cstheme="minorHAnsi"/>
        </w:rPr>
        <w:t xml:space="preserve">C and D). Out of the eight positive rabbit samples, five (62%) had positive labeling in the apical epithelium, six (75%) in the basal epithelium/basement membrane, seven (88%) in the superficial LP, and two (25%) in the deep LP. Out of the seven human samples positive for labeling, three (43%) had positive labeling in </w:t>
      </w:r>
      <w:r w:rsidR="00FE764B">
        <w:rPr>
          <w:rFonts w:cstheme="minorHAnsi"/>
        </w:rPr>
        <w:t xml:space="preserve">the </w:t>
      </w:r>
      <w:r w:rsidRPr="00667C76">
        <w:rPr>
          <w:rFonts w:cstheme="minorHAnsi"/>
        </w:rPr>
        <w:t xml:space="preserve">apical epithelium, two (28%) in the basal epithelium/basement membrane, and one (14%) in the superficial LP. </w:t>
      </w:r>
    </w:p>
    <w:p w14:paraId="02DF50B3" w14:textId="5D19DBA9" w:rsidR="009B3B0A" w:rsidRDefault="009B3B0A">
      <w:pPr>
        <w:pStyle w:val="Heading3"/>
      </w:pPr>
      <w:bookmarkStart w:id="90" w:name="_Toc88218552"/>
      <w:r>
        <w:t>Aquaporin 7</w:t>
      </w:r>
      <w:bookmarkEnd w:id="90"/>
    </w:p>
    <w:p w14:paraId="59070052" w14:textId="4FC37257" w:rsidR="003E2194" w:rsidRDefault="003D2039" w:rsidP="00AB30C8">
      <w:pPr>
        <w:ind w:right="-14"/>
        <w:rPr>
          <w:rFonts w:cstheme="minorHAnsi"/>
          <w:noProof/>
        </w:rPr>
      </w:pPr>
      <w:r w:rsidRPr="00667C76">
        <w:rPr>
          <w:rFonts w:cstheme="minorHAnsi"/>
        </w:rPr>
        <w:t xml:space="preserve">Aquaporin 7 was present in the apical epithelium, basal epithelium/basement membrane, superficial LP of both species (Figure </w:t>
      </w:r>
      <w:r w:rsidR="00ED0274">
        <w:rPr>
          <w:rFonts w:cstheme="minorHAnsi"/>
        </w:rPr>
        <w:t>1</w:t>
      </w:r>
      <w:r w:rsidR="00632044">
        <w:rPr>
          <w:rFonts w:cstheme="minorHAnsi"/>
        </w:rPr>
        <w:t>7</w:t>
      </w:r>
      <w:r w:rsidRPr="00667C76">
        <w:rPr>
          <w:rFonts w:cstheme="minorHAnsi"/>
        </w:rPr>
        <w:t xml:space="preserve"> E and F). Out of the seven positive rabbit samples, six (86%) had positive labeling in the apical epithelium, seven (100%) in the basal epithelium/basement membrane, six (86%) in the superficial LP, and three (43%) in the deep LP. Out of the six human samples positive for labeling, two (33%) had positive labeling in </w:t>
      </w:r>
      <w:r w:rsidR="00DC53B2">
        <w:rPr>
          <w:rFonts w:cstheme="minorHAnsi"/>
        </w:rPr>
        <w:t xml:space="preserve">the </w:t>
      </w:r>
      <w:r w:rsidRPr="00667C76">
        <w:rPr>
          <w:rFonts w:cstheme="minorHAnsi"/>
        </w:rPr>
        <w:t>apical epithelium, three (50%) in the basal epithelium/basement membrane, and one (16%) in the superficial LP.</w:t>
      </w:r>
      <w:r w:rsidR="003E2194" w:rsidRPr="003E2194">
        <w:rPr>
          <w:rFonts w:cstheme="minorHAnsi"/>
          <w:noProof/>
        </w:rPr>
        <w:t xml:space="preserve"> </w:t>
      </w:r>
    </w:p>
    <w:p w14:paraId="433C2387" w14:textId="77777777" w:rsidR="003E2194" w:rsidRDefault="003E2194" w:rsidP="00AB30C8">
      <w:pPr>
        <w:ind w:right="-14"/>
        <w:rPr>
          <w:rFonts w:cstheme="minorHAnsi"/>
          <w:noProof/>
        </w:rPr>
      </w:pPr>
    </w:p>
    <w:p w14:paraId="5F74B3B9" w14:textId="2BB993B4" w:rsidR="00F51955" w:rsidRDefault="003E2194" w:rsidP="00F51955">
      <w:pPr>
        <w:keepNext/>
        <w:ind w:right="-14" w:firstLine="0"/>
        <w:jc w:val="center"/>
      </w:pPr>
      <w:r>
        <w:rPr>
          <w:rFonts w:cstheme="minorHAnsi"/>
          <w:noProof/>
        </w:rPr>
        <w:drawing>
          <wp:inline distT="0" distB="0" distL="0" distR="0" wp14:anchorId="5268680D" wp14:editId="679380AF">
            <wp:extent cx="5939302" cy="3024554"/>
            <wp:effectExtent l="0" t="0" r="4445" b="4445"/>
            <wp:docPr id="32" name="Picture 32"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screenshot of a computer&#10;&#10;Description automatically generated with low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6449" cy="3028194"/>
                    </a:xfrm>
                    <a:prstGeom prst="rect">
                      <a:avLst/>
                    </a:prstGeom>
                    <a:noFill/>
                    <a:ln>
                      <a:noFill/>
                    </a:ln>
                  </pic:spPr>
                </pic:pic>
              </a:graphicData>
            </a:graphic>
          </wp:inline>
        </w:drawing>
      </w:r>
    </w:p>
    <w:p w14:paraId="66A1AC87" w14:textId="49115510" w:rsidR="00F51955" w:rsidRPr="002C6C7A" w:rsidRDefault="00F51955" w:rsidP="00F51955">
      <w:pPr>
        <w:pStyle w:val="Caption"/>
        <w:rPr>
          <w:vanish/>
          <w:specVanish/>
        </w:rPr>
      </w:pPr>
      <w:bookmarkStart w:id="91" w:name="_Toc88218610"/>
      <w:r>
        <w:t xml:space="preserve">Figure </w:t>
      </w:r>
      <w:r>
        <w:fldChar w:fldCharType="begin"/>
      </w:r>
      <w:r>
        <w:instrText xml:space="preserve"> SEQ Figure \* ARABIC </w:instrText>
      </w:r>
      <w:r>
        <w:fldChar w:fldCharType="separate"/>
      </w:r>
      <w:r w:rsidR="00CD04FC">
        <w:t>17</w:t>
      </w:r>
      <w:r>
        <w:fldChar w:fldCharType="end"/>
      </w:r>
      <w:r>
        <w:t>:</w:t>
      </w:r>
      <w:r w:rsidRPr="00F51955">
        <w:t xml:space="preserve"> Representative immunofluorescence images labeled for AQP</w:t>
      </w:r>
      <w:r w:rsidR="00E23D85">
        <w:t>1, 4, and 7</w:t>
      </w:r>
      <w:r w:rsidRPr="00F51955">
        <w:t>.</w:t>
      </w:r>
      <w:bookmarkEnd w:id="91"/>
    </w:p>
    <w:p w14:paraId="35D66627" w14:textId="4801B4EA" w:rsidR="00F51955" w:rsidRPr="00F51955" w:rsidRDefault="002C6C7A" w:rsidP="002C6C7A">
      <w:pPr>
        <w:pStyle w:val="CaptionDescription"/>
        <w:jc w:val="both"/>
      </w:pPr>
      <w:r>
        <w:t xml:space="preserve"> </w:t>
      </w:r>
      <w:r w:rsidR="00F51955" w:rsidRPr="00F51955">
        <w:t xml:space="preserve">Rabbit (A, C, and E) and human (B, D, and F) VF epithelium, superficial LP, and intermediate/deep LP labeled for DAPI are shown in blue and AQP1 (A-B), AQP4 (C-D), and AQP7 (E-F) in red. Dotted white boxes represent the magnified portion of </w:t>
      </w:r>
      <w:r w:rsidR="00DC53B2">
        <w:t xml:space="preserve">the </w:t>
      </w:r>
      <w:r w:rsidR="00F51955" w:rsidRPr="00F51955">
        <w:t xml:space="preserve">image and </w:t>
      </w:r>
      <w:r w:rsidR="00DC53B2">
        <w:t>are</w:t>
      </w:r>
      <w:r w:rsidR="00F51955" w:rsidRPr="00F51955">
        <w:t xml:space="preserve"> displayed in </w:t>
      </w:r>
      <w:r w:rsidR="00DC53B2">
        <w:t xml:space="preserve">the </w:t>
      </w:r>
      <w:r w:rsidR="00F51955" w:rsidRPr="00F51955">
        <w:t>bottom left corner of each image. White arrows indicate other areas of positive labeling.  Scale bars: 100 µm</w:t>
      </w:r>
      <w:r w:rsidR="00BF1F94">
        <w:t>.</w:t>
      </w:r>
    </w:p>
    <w:p w14:paraId="5F488528" w14:textId="39ECFEC2" w:rsidR="00AB30C8" w:rsidRDefault="003D2039" w:rsidP="00AB30C8">
      <w:pPr>
        <w:pStyle w:val="Heading3"/>
        <w:rPr>
          <w:rFonts w:cs="Times New Roman"/>
        </w:rPr>
      </w:pPr>
      <w:bookmarkStart w:id="92" w:name="_Toc88218553"/>
      <w:r w:rsidRPr="003D20EF">
        <w:rPr>
          <w:rFonts w:cs="Times New Roman"/>
        </w:rPr>
        <w:t>Sodium</w:t>
      </w:r>
      <w:r>
        <w:rPr>
          <w:rFonts w:cs="Times New Roman"/>
        </w:rPr>
        <w:t>-</w:t>
      </w:r>
      <w:r w:rsidRPr="003D20EF">
        <w:rPr>
          <w:rFonts w:cs="Times New Roman"/>
        </w:rPr>
        <w:t>potassium </w:t>
      </w:r>
      <w:r>
        <w:rPr>
          <w:rFonts w:cs="Times New Roman"/>
        </w:rPr>
        <w:t>A</w:t>
      </w:r>
      <w:r w:rsidRPr="003D20EF">
        <w:rPr>
          <w:rFonts w:cs="Times New Roman"/>
        </w:rPr>
        <w:t xml:space="preserve">denosine </w:t>
      </w:r>
      <w:r>
        <w:rPr>
          <w:rFonts w:cs="Times New Roman"/>
        </w:rPr>
        <w:t>T</w:t>
      </w:r>
      <w:r w:rsidRPr="003D20EF">
        <w:rPr>
          <w:rFonts w:cs="Times New Roman"/>
        </w:rPr>
        <w:t>riphosphatase</w:t>
      </w:r>
      <w:bookmarkEnd w:id="92"/>
    </w:p>
    <w:p w14:paraId="1EEFC822" w14:textId="42F015F1" w:rsidR="00AB4E8B" w:rsidRDefault="00AB30C8" w:rsidP="00AB30C8">
      <w:pPr>
        <w:rPr>
          <w:rFonts w:cstheme="minorHAnsi"/>
        </w:rPr>
      </w:pPr>
      <w:r w:rsidRPr="00667C76">
        <w:rPr>
          <w:rFonts w:cstheme="minorHAnsi"/>
        </w:rPr>
        <w:t xml:space="preserve">The integral transport protein Na+/K+-ATPase was present in the apical epithelium and basal epithelium/basement membrane region in both species (Figure </w:t>
      </w:r>
      <w:r w:rsidR="002B3FAA">
        <w:rPr>
          <w:rFonts w:cstheme="minorHAnsi"/>
        </w:rPr>
        <w:t>1</w:t>
      </w:r>
      <w:r w:rsidR="00632044">
        <w:rPr>
          <w:rFonts w:cstheme="minorHAnsi"/>
        </w:rPr>
        <w:t>8</w:t>
      </w:r>
      <w:r w:rsidRPr="00667C76">
        <w:rPr>
          <w:rFonts w:cstheme="minorHAnsi"/>
        </w:rPr>
        <w:t>A and B). Out of the 15 rabbit samples positive for Na+/K+-ATPase labeling, six (40%) were positive in the apical epithelium while 15 (100%) were positive in the basal epithelium/basement membrane region. Out of the 10 human samples positive for labeling, eight (80%) were positive in both apical epithelium and basal epithelium/basement membrane regions.</w:t>
      </w:r>
    </w:p>
    <w:p w14:paraId="520CF3BA" w14:textId="77777777" w:rsidR="00AB4E8B" w:rsidRDefault="00AB4E8B" w:rsidP="00AB30C8">
      <w:pPr>
        <w:rPr>
          <w:rFonts w:cstheme="minorHAnsi"/>
        </w:rPr>
      </w:pPr>
    </w:p>
    <w:p w14:paraId="56A1E7D7" w14:textId="77777777" w:rsidR="002A3BD7" w:rsidRDefault="00AB4E8B" w:rsidP="002A3BD7">
      <w:pPr>
        <w:keepNext/>
        <w:ind w:firstLine="0"/>
        <w:jc w:val="center"/>
      </w:pPr>
      <w:r>
        <w:rPr>
          <w:rFonts w:cstheme="minorHAnsi"/>
          <w:noProof/>
        </w:rPr>
        <w:drawing>
          <wp:inline distT="0" distB="0" distL="0" distR="0" wp14:anchorId="0FAC4EA1" wp14:editId="7C3670B6">
            <wp:extent cx="3298092" cy="5069846"/>
            <wp:effectExtent l="0" t="0" r="0" b="0"/>
            <wp:docPr id="34" name="Picture 34"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ackground pattern&#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03250" cy="5077775"/>
                    </a:xfrm>
                    <a:prstGeom prst="rect">
                      <a:avLst/>
                    </a:prstGeom>
                    <a:noFill/>
                    <a:ln>
                      <a:noFill/>
                    </a:ln>
                  </pic:spPr>
                </pic:pic>
              </a:graphicData>
            </a:graphic>
          </wp:inline>
        </w:drawing>
      </w:r>
    </w:p>
    <w:p w14:paraId="565BDB0F" w14:textId="6CC01125" w:rsidR="00AB30C8" w:rsidRPr="00ED09DD" w:rsidRDefault="002A3BD7" w:rsidP="002A3BD7">
      <w:pPr>
        <w:pStyle w:val="Caption"/>
        <w:rPr>
          <w:vanish/>
          <w:specVanish/>
        </w:rPr>
      </w:pPr>
      <w:bookmarkStart w:id="93" w:name="_Toc88218611"/>
      <w:r>
        <w:t xml:space="preserve">Figure </w:t>
      </w:r>
      <w:r>
        <w:fldChar w:fldCharType="begin"/>
      </w:r>
      <w:r>
        <w:instrText xml:space="preserve"> SEQ Figure \* ARABIC </w:instrText>
      </w:r>
      <w:r>
        <w:fldChar w:fldCharType="separate"/>
      </w:r>
      <w:r w:rsidR="00CD04FC">
        <w:t>18</w:t>
      </w:r>
      <w:r>
        <w:fldChar w:fldCharType="end"/>
      </w:r>
      <w:r>
        <w:t>:</w:t>
      </w:r>
      <w:r w:rsidRPr="002A3BD7">
        <w:t xml:space="preserve"> </w:t>
      </w:r>
      <w:r w:rsidRPr="00F51955">
        <w:t xml:space="preserve">Representative immunofluorescence images labeled for </w:t>
      </w:r>
      <w:r w:rsidR="00054111" w:rsidRPr="00054111">
        <w:t>Na+/K+-ATPase</w:t>
      </w:r>
      <w:r w:rsidR="00B30E14">
        <w:t>.</w:t>
      </w:r>
      <w:bookmarkEnd w:id="93"/>
    </w:p>
    <w:p w14:paraId="213210B1" w14:textId="6131A6EA" w:rsidR="003A342A" w:rsidRPr="003A342A" w:rsidRDefault="00ED09DD" w:rsidP="00ED09DD">
      <w:pPr>
        <w:pStyle w:val="CaptionDescription"/>
      </w:pPr>
      <w:r>
        <w:t xml:space="preserve"> R</w:t>
      </w:r>
      <w:r w:rsidRPr="00ED09DD">
        <w:t xml:space="preserve">abbit (A) and human (B) VF epithelium, superficial LP, and intermediate/deep LP labeled for DAPI in blue and Na+/K+-ATPase in red. Dotted white boxes represent the magnified portion of </w:t>
      </w:r>
      <w:r w:rsidR="00DC53B2">
        <w:t xml:space="preserve">the </w:t>
      </w:r>
      <w:r w:rsidRPr="00ED09DD">
        <w:t xml:space="preserve">image and </w:t>
      </w:r>
      <w:r w:rsidR="00DC53B2">
        <w:t>are</w:t>
      </w:r>
      <w:r w:rsidRPr="00ED09DD">
        <w:t xml:space="preserve"> displayed in </w:t>
      </w:r>
      <w:r w:rsidR="00DC53B2">
        <w:t xml:space="preserve">the </w:t>
      </w:r>
      <w:r w:rsidRPr="00ED09DD">
        <w:t>bottom left corner of each image</w:t>
      </w:r>
      <w:r w:rsidR="002F338D">
        <w:t>.</w:t>
      </w:r>
      <w:r w:rsidRPr="00ED09DD">
        <w:t xml:space="preserve"> Scale bars: 100 µm.</w:t>
      </w:r>
    </w:p>
    <w:p w14:paraId="6E834510" w14:textId="6C8F33A0" w:rsidR="00AB30C8" w:rsidRDefault="00816698">
      <w:pPr>
        <w:pStyle w:val="Heading3"/>
      </w:pPr>
      <w:bookmarkStart w:id="94" w:name="_Toc88218554"/>
      <w:r>
        <w:t>E-cadherin</w:t>
      </w:r>
      <w:bookmarkEnd w:id="94"/>
      <w:r>
        <w:t xml:space="preserve"> </w:t>
      </w:r>
    </w:p>
    <w:p w14:paraId="0ACEDB3F" w14:textId="3A62DC8F" w:rsidR="00816698" w:rsidRPr="001047F0" w:rsidRDefault="00816698" w:rsidP="001047F0">
      <w:pPr>
        <w:ind w:right="-14"/>
        <w:rPr>
          <w:rFonts w:cstheme="minorHAnsi"/>
          <w:color w:val="222222"/>
          <w:shd w:val="clear" w:color="auto" w:fill="FFFFFF"/>
        </w:rPr>
      </w:pPr>
      <w:r w:rsidRPr="00667C76">
        <w:rPr>
          <w:rFonts w:cstheme="minorHAnsi"/>
        </w:rPr>
        <w:t>The cell</w:t>
      </w:r>
      <w:r w:rsidR="00DC53B2">
        <w:rPr>
          <w:rFonts w:cstheme="minorHAnsi"/>
        </w:rPr>
        <w:t>-</w:t>
      </w:r>
      <w:r w:rsidRPr="00667C76">
        <w:rPr>
          <w:rFonts w:cstheme="minorHAnsi"/>
        </w:rPr>
        <w:t xml:space="preserve">cell adhesion protein e-cadherin was present in the apical epithelium and basal epithelium/basement membrane region (Figure </w:t>
      </w:r>
      <w:r w:rsidR="00461AC6">
        <w:rPr>
          <w:rFonts w:cstheme="minorHAnsi"/>
        </w:rPr>
        <w:t>1</w:t>
      </w:r>
      <w:r w:rsidR="00632044">
        <w:rPr>
          <w:rFonts w:cstheme="minorHAnsi"/>
        </w:rPr>
        <w:t>9</w:t>
      </w:r>
      <w:r w:rsidRPr="00667C76">
        <w:rPr>
          <w:rFonts w:cstheme="minorHAnsi"/>
        </w:rPr>
        <w:t>A and B) in all 14 rabbit samples. Out of the 1</w:t>
      </w:r>
      <w:r w:rsidR="00CF0351">
        <w:rPr>
          <w:rFonts w:cstheme="minorHAnsi"/>
        </w:rPr>
        <w:t>1</w:t>
      </w:r>
      <w:r w:rsidRPr="00667C76">
        <w:rPr>
          <w:rFonts w:cstheme="minorHAnsi"/>
        </w:rPr>
        <w:t xml:space="preserve"> human samples, 1</w:t>
      </w:r>
      <w:r w:rsidR="00CF0351">
        <w:rPr>
          <w:rFonts w:cstheme="minorHAnsi"/>
        </w:rPr>
        <w:t>0</w:t>
      </w:r>
      <w:r w:rsidRPr="00667C76">
        <w:rPr>
          <w:rFonts w:cstheme="minorHAnsi"/>
        </w:rPr>
        <w:t xml:space="preserve"> (91%) had protein labeled in both the apical epithelium and basal epithelium/basement membrane regions.</w:t>
      </w:r>
      <w:r w:rsidRPr="00667C76">
        <w:rPr>
          <w:rFonts w:cstheme="minorHAnsi"/>
          <w:color w:val="222222"/>
          <w:shd w:val="clear" w:color="auto" w:fill="FFFFFF"/>
        </w:rPr>
        <w:t xml:space="preserve"> </w:t>
      </w:r>
    </w:p>
    <w:p w14:paraId="7A786E0B" w14:textId="4FAE2284" w:rsidR="00816698" w:rsidRDefault="001047F0">
      <w:pPr>
        <w:pStyle w:val="Heading3"/>
      </w:pPr>
      <w:bookmarkStart w:id="95" w:name="_Toc88218555"/>
      <w:r>
        <w:t>Occludin</w:t>
      </w:r>
      <w:bookmarkEnd w:id="95"/>
    </w:p>
    <w:p w14:paraId="666EF1E6" w14:textId="060B345C" w:rsidR="0064685F" w:rsidRPr="00DA0B4A" w:rsidRDefault="0064685F" w:rsidP="00DA0B4A">
      <w:pPr>
        <w:ind w:right="-14"/>
        <w:rPr>
          <w:rFonts w:cstheme="minorHAnsi"/>
        </w:rPr>
      </w:pPr>
      <w:r w:rsidRPr="00667C76">
        <w:rPr>
          <w:rFonts w:cstheme="minorHAnsi"/>
        </w:rPr>
        <w:t xml:space="preserve">The </w:t>
      </w:r>
      <w:r w:rsidR="00F53D29">
        <w:rPr>
          <w:rFonts w:cstheme="minorHAnsi"/>
        </w:rPr>
        <w:t>TJ</w:t>
      </w:r>
      <w:r w:rsidRPr="00667C76">
        <w:rPr>
          <w:rFonts w:cstheme="minorHAnsi"/>
        </w:rPr>
        <w:t xml:space="preserve"> protein occludin was present in the epithelium of both species (Figure </w:t>
      </w:r>
      <w:r w:rsidR="00461AC6">
        <w:rPr>
          <w:rFonts w:cstheme="minorHAnsi"/>
        </w:rPr>
        <w:t>1</w:t>
      </w:r>
      <w:r w:rsidR="00632044">
        <w:rPr>
          <w:rFonts w:cstheme="minorHAnsi"/>
        </w:rPr>
        <w:t>9</w:t>
      </w:r>
      <w:r w:rsidRPr="00667C76">
        <w:rPr>
          <w:rFonts w:cstheme="minorHAnsi"/>
        </w:rPr>
        <w:t>C and D). Out of the 10 positive rabbit samples, nine (90%) were positive in the apical epithelium and three (30%) were positive in the basal epithelium. All rabbit samples also had positive labeling throughout the LP layers. In the seven human samples positive for labeling, only two (29%) showed presence in the apical epithelium and basal epithelium/basement membrane regions.</w:t>
      </w:r>
    </w:p>
    <w:p w14:paraId="642F7FB8" w14:textId="6C60B64B" w:rsidR="0064685F" w:rsidRDefault="0064685F">
      <w:pPr>
        <w:pStyle w:val="Heading3"/>
      </w:pPr>
      <w:bookmarkStart w:id="96" w:name="_Toc88218556"/>
      <w:r>
        <w:t>Zonula Occludin-1</w:t>
      </w:r>
      <w:bookmarkEnd w:id="96"/>
    </w:p>
    <w:p w14:paraId="5ACDF8A1" w14:textId="6EEE5F2D" w:rsidR="00A36727" w:rsidRDefault="00753E4E" w:rsidP="00753E4E">
      <w:pPr>
        <w:ind w:right="-14"/>
        <w:rPr>
          <w:rFonts w:cstheme="minorHAnsi"/>
          <w:noProof/>
        </w:rPr>
      </w:pPr>
      <w:r w:rsidRPr="00667C76">
        <w:rPr>
          <w:rFonts w:cstheme="minorHAnsi"/>
        </w:rPr>
        <w:t xml:space="preserve">The </w:t>
      </w:r>
      <w:r w:rsidR="00DD5BD5">
        <w:rPr>
          <w:rFonts w:cstheme="minorHAnsi"/>
        </w:rPr>
        <w:t>TJ</w:t>
      </w:r>
      <w:r w:rsidRPr="00667C76">
        <w:rPr>
          <w:rFonts w:cstheme="minorHAnsi"/>
        </w:rPr>
        <w:t xml:space="preserve"> protein ZO-1 was present in the apical epithelium, basal epithelium/basement membrane, and LP of both species (Figure </w:t>
      </w:r>
      <w:r w:rsidR="00461AC6">
        <w:rPr>
          <w:rFonts w:cstheme="minorHAnsi"/>
        </w:rPr>
        <w:t>1</w:t>
      </w:r>
      <w:r w:rsidR="00632044">
        <w:rPr>
          <w:rFonts w:cstheme="minorHAnsi"/>
        </w:rPr>
        <w:t>9</w:t>
      </w:r>
      <w:r w:rsidRPr="00667C76">
        <w:rPr>
          <w:rFonts w:cstheme="minorHAnsi"/>
        </w:rPr>
        <w:t>E and F). Out of the eight positive rabbit samples, seven (88%) were positive in the apical and basal epithelium/basement membrane region, eight (100%) were positive in the superficial LP, and five (63%) were positive in the deep LP. Out of five positive human samples, three (60%) were positive in the apical epithelium, two (40%) were positive in the basal epithelium/basement membrane region, four (80%) were positive in the superficial LP, and two (40%) were positive in the intermediate LP.</w:t>
      </w:r>
      <w:r w:rsidRPr="00667C76">
        <w:rPr>
          <w:rFonts w:cstheme="minorHAnsi"/>
          <w:color w:val="222222"/>
          <w:shd w:val="clear" w:color="auto" w:fill="FFFFFF"/>
        </w:rPr>
        <w:t xml:space="preserve"> A summary of these findings is presented in Table </w:t>
      </w:r>
      <w:r w:rsidR="005E5C36">
        <w:rPr>
          <w:rFonts w:cstheme="minorHAnsi"/>
          <w:color w:val="222222"/>
          <w:shd w:val="clear" w:color="auto" w:fill="FFFFFF"/>
        </w:rPr>
        <w:t>3</w:t>
      </w:r>
      <w:r w:rsidRPr="00667C76">
        <w:rPr>
          <w:rFonts w:cstheme="minorHAnsi"/>
          <w:color w:val="222222"/>
          <w:shd w:val="clear" w:color="auto" w:fill="FFFFFF"/>
        </w:rPr>
        <w:t>.</w:t>
      </w:r>
      <w:r w:rsidR="00A36727" w:rsidRPr="00A36727">
        <w:rPr>
          <w:rFonts w:cstheme="minorHAnsi"/>
          <w:noProof/>
        </w:rPr>
        <w:t xml:space="preserve"> </w:t>
      </w:r>
    </w:p>
    <w:p w14:paraId="587C91CC" w14:textId="77777777" w:rsidR="00A36727" w:rsidRDefault="00A36727" w:rsidP="00753E4E">
      <w:pPr>
        <w:ind w:right="-14"/>
        <w:rPr>
          <w:rFonts w:cstheme="minorHAnsi"/>
          <w:noProof/>
        </w:rPr>
      </w:pPr>
    </w:p>
    <w:p w14:paraId="29BAD05C" w14:textId="77777777" w:rsidR="00A36727" w:rsidRDefault="00A36727" w:rsidP="00A36727">
      <w:pPr>
        <w:keepNext/>
        <w:ind w:right="-14" w:firstLine="0"/>
        <w:jc w:val="center"/>
      </w:pPr>
      <w:r>
        <w:rPr>
          <w:rFonts w:cstheme="minorHAnsi"/>
          <w:noProof/>
        </w:rPr>
        <w:drawing>
          <wp:inline distT="0" distB="0" distL="0" distR="0" wp14:anchorId="4A370C5E" wp14:editId="666486A2">
            <wp:extent cx="5790676" cy="2962031"/>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01676" cy="2967658"/>
                    </a:xfrm>
                    <a:prstGeom prst="rect">
                      <a:avLst/>
                    </a:prstGeom>
                    <a:noFill/>
                    <a:ln>
                      <a:noFill/>
                    </a:ln>
                  </pic:spPr>
                </pic:pic>
              </a:graphicData>
            </a:graphic>
          </wp:inline>
        </w:drawing>
      </w:r>
    </w:p>
    <w:p w14:paraId="6D3E16AC" w14:textId="656ECAB4" w:rsidR="005E5C36" w:rsidRPr="00F7603C" w:rsidRDefault="00A36727" w:rsidP="00A36727">
      <w:pPr>
        <w:pStyle w:val="Caption"/>
        <w:rPr>
          <w:rFonts w:cstheme="minorHAnsi"/>
          <w:vanish/>
          <w:color w:val="222222"/>
          <w:shd w:val="clear" w:color="auto" w:fill="FFFFFF"/>
          <w:specVanish/>
        </w:rPr>
      </w:pPr>
      <w:bookmarkStart w:id="97" w:name="_Toc88218612"/>
      <w:r>
        <w:t xml:space="preserve">Figure </w:t>
      </w:r>
      <w:r>
        <w:fldChar w:fldCharType="begin"/>
      </w:r>
      <w:r>
        <w:instrText xml:space="preserve"> SEQ Figure \* ARABIC </w:instrText>
      </w:r>
      <w:r>
        <w:fldChar w:fldCharType="separate"/>
      </w:r>
      <w:r w:rsidR="00CD04FC">
        <w:t>19</w:t>
      </w:r>
      <w:r>
        <w:fldChar w:fldCharType="end"/>
      </w:r>
      <w:r>
        <w:t xml:space="preserve">: </w:t>
      </w:r>
      <w:r w:rsidRPr="00F51955">
        <w:t xml:space="preserve">Representative immunofluorescence images labeled for </w:t>
      </w:r>
      <w:r>
        <w:t>E-cadherin, Occludinm, and ZO-1.</w:t>
      </w:r>
      <w:bookmarkEnd w:id="97"/>
    </w:p>
    <w:p w14:paraId="08C9BABD" w14:textId="28B2F40B" w:rsidR="005E5C36" w:rsidRDefault="00F7603C" w:rsidP="00F7603C">
      <w:pPr>
        <w:pStyle w:val="CaptionDescription"/>
      </w:pPr>
      <w:r>
        <w:t xml:space="preserve"> </w:t>
      </w:r>
      <w:r w:rsidR="000314FA" w:rsidRPr="000314FA">
        <w:t xml:space="preserve">Representative immunofluorescence labeled images of rabbit (A, C, and E) and human (B, D, and F) VF epithelium, superficial LP, and intermediate/deep LP labeled for DAPI in blue and e-cadherin (A-B), occludin (C-D), and ZO-1 (E-F) in red. Dotted white boxes represent the magnified portion of </w:t>
      </w:r>
      <w:r w:rsidR="00DC53B2">
        <w:t xml:space="preserve">the </w:t>
      </w:r>
      <w:r w:rsidR="000314FA" w:rsidRPr="000314FA">
        <w:t xml:space="preserve">image and </w:t>
      </w:r>
      <w:r w:rsidR="00DC53B2">
        <w:t>are</w:t>
      </w:r>
      <w:r w:rsidR="000314FA" w:rsidRPr="000314FA">
        <w:t xml:space="preserve"> displayed in </w:t>
      </w:r>
      <w:r w:rsidR="00DC53B2">
        <w:t xml:space="preserve">the </w:t>
      </w:r>
      <w:r w:rsidR="000314FA" w:rsidRPr="000314FA">
        <w:t>bottom left corner of each image. White arrows indicate other areas of positive labeling.  Scale bars: 100 µm</w:t>
      </w:r>
      <w:r w:rsidR="003B07D9">
        <w:t>.</w:t>
      </w:r>
    </w:p>
    <w:p w14:paraId="31A2C8E4" w14:textId="77777777" w:rsidR="00F7603C" w:rsidRPr="00F7603C" w:rsidRDefault="00F7603C" w:rsidP="00F7603C"/>
    <w:p w14:paraId="2E7AE02B" w14:textId="7D350579" w:rsidR="005E5C36" w:rsidRDefault="005E5C36" w:rsidP="005E5C36">
      <w:pPr>
        <w:pStyle w:val="Caption"/>
        <w:keepNext/>
      </w:pPr>
      <w:bookmarkStart w:id="98" w:name="_Toc88218592"/>
      <w:r>
        <w:t xml:space="preserve">Table </w:t>
      </w:r>
      <w:r>
        <w:fldChar w:fldCharType="begin"/>
      </w:r>
      <w:r>
        <w:instrText xml:space="preserve"> SEQ Table \* ARABIC </w:instrText>
      </w:r>
      <w:r>
        <w:fldChar w:fldCharType="separate"/>
      </w:r>
      <w:r w:rsidR="00CD04FC">
        <w:t>4</w:t>
      </w:r>
      <w:r>
        <w:fldChar w:fldCharType="end"/>
      </w:r>
      <w:r>
        <w:t>: Results of positive labeling of tissue structures in rabbit and human VFs</w:t>
      </w:r>
      <w:bookmarkEnd w:id="98"/>
    </w:p>
    <w:p w14:paraId="553E3B74" w14:textId="7002F69E" w:rsidR="00753E4E" w:rsidRPr="000A3F72" w:rsidRDefault="005E5C36" w:rsidP="000A3F72">
      <w:pPr>
        <w:ind w:right="-14" w:firstLine="0"/>
        <w:rPr>
          <w:rFonts w:cstheme="minorHAnsi"/>
        </w:rPr>
      </w:pPr>
      <w:r>
        <w:rPr>
          <w:noProof/>
        </w:rPr>
        <w:drawing>
          <wp:inline distT="0" distB="0" distL="0" distR="0" wp14:anchorId="47AC98E2" wp14:editId="256E0A10">
            <wp:extent cx="6022199" cy="2922954"/>
            <wp:effectExtent l="0" t="0" r="0" b="0"/>
            <wp:docPr id="31" name="Picture 3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able&#10;&#10;Description automatically generated"/>
                    <pic:cNvPicPr/>
                  </pic:nvPicPr>
                  <pic:blipFill>
                    <a:blip r:embed="rId40"/>
                    <a:stretch>
                      <a:fillRect/>
                    </a:stretch>
                  </pic:blipFill>
                  <pic:spPr>
                    <a:xfrm>
                      <a:off x="0" y="0"/>
                      <a:ext cx="6023300" cy="2923488"/>
                    </a:xfrm>
                    <a:prstGeom prst="rect">
                      <a:avLst/>
                    </a:prstGeom>
                  </pic:spPr>
                </pic:pic>
              </a:graphicData>
            </a:graphic>
          </wp:inline>
        </w:drawing>
      </w:r>
      <w:r w:rsidR="00753E4E" w:rsidRPr="00667C76">
        <w:rPr>
          <w:rFonts w:cstheme="minorHAnsi"/>
          <w:color w:val="222222"/>
          <w:shd w:val="clear" w:color="auto" w:fill="FFFFFF"/>
        </w:rPr>
        <w:t xml:space="preserve"> </w:t>
      </w:r>
    </w:p>
    <w:p w14:paraId="19A93751" w14:textId="4FC1EFFC" w:rsidR="0049522F" w:rsidRDefault="0049522F" w:rsidP="0049522F">
      <w:pPr>
        <w:pStyle w:val="Heading2"/>
      </w:pPr>
      <w:bookmarkStart w:id="99" w:name="_Toc88218557"/>
      <w:r>
        <w:t xml:space="preserve">Acute Effects of Daily Intramuscular </w:t>
      </w:r>
      <w:r w:rsidR="008E5C42">
        <w:t xml:space="preserve">Glucocorticoid </w:t>
      </w:r>
      <w:r>
        <w:t>Treatment on Rabbit Vocal Folds</w:t>
      </w:r>
      <w:bookmarkEnd w:id="99"/>
    </w:p>
    <w:p w14:paraId="29E618EC" w14:textId="37869BEB" w:rsidR="000A689E" w:rsidRDefault="000A689E" w:rsidP="000A689E">
      <w:pPr>
        <w:pStyle w:val="Heading3"/>
      </w:pPr>
      <w:bookmarkStart w:id="100" w:name="_Toc88218558"/>
      <w:r>
        <w:t>Body Mass</w:t>
      </w:r>
      <w:bookmarkEnd w:id="100"/>
    </w:p>
    <w:p w14:paraId="73553D06" w14:textId="00B6138A" w:rsidR="001030C7" w:rsidRDefault="00F75D2A" w:rsidP="00F75D2A">
      <w:r w:rsidRPr="00BC6BBD">
        <w:t xml:space="preserve">A two-way repeated measures </w:t>
      </w:r>
      <w:r w:rsidR="006E420E">
        <w:t xml:space="preserve">ANOVA </w:t>
      </w:r>
      <w:r>
        <w:t xml:space="preserve">with Sidak’s multiple </w:t>
      </w:r>
      <w:r w:rsidR="007749F5">
        <w:t xml:space="preserve">comparisons </w:t>
      </w:r>
      <w:r>
        <w:t>test</w:t>
      </w:r>
      <w:r w:rsidRPr="00BC6BBD">
        <w:t xml:space="preserve"> revealed </w:t>
      </w:r>
      <w:r>
        <w:t xml:space="preserve">a </w:t>
      </w:r>
      <w:r w:rsidRPr="00BC6BBD">
        <w:t>significant increase in pre and post</w:t>
      </w:r>
      <w:r>
        <w:t>-</w:t>
      </w:r>
      <w:r w:rsidRPr="00BC6BBD">
        <w:t>treatment body</w:t>
      </w:r>
      <w:r>
        <w:t xml:space="preserve"> mass</w:t>
      </w:r>
      <w:r w:rsidRPr="00BC6BBD">
        <w:t xml:space="preserve"> </w:t>
      </w:r>
      <w:r>
        <w:t>in</w:t>
      </w:r>
      <w:r w:rsidRPr="00BC6BBD">
        <w:t xml:space="preserve"> </w:t>
      </w:r>
      <w:r>
        <w:t xml:space="preserve">saline treated </w:t>
      </w:r>
      <w:r w:rsidRPr="00BC6BBD">
        <w:t xml:space="preserve">rabbits euthanized at the </w:t>
      </w:r>
      <w:r>
        <w:t>1-day timepoint</w:t>
      </w:r>
      <w:r w:rsidRPr="00BC6BBD">
        <w:t xml:space="preserve"> (</w:t>
      </w:r>
      <w:r w:rsidR="00A63224" w:rsidRPr="00A63224">
        <w:t>F(13, 13) = 10.06</w:t>
      </w:r>
      <w:r w:rsidR="00EF6719">
        <w:t>;</w:t>
      </w:r>
      <w:r w:rsidR="00EF6719" w:rsidRPr="00EF6719">
        <w:t xml:space="preserve"> </w:t>
      </w:r>
      <w:r w:rsidRPr="00BC6BBD">
        <w:t>p</w:t>
      </w:r>
      <w:r>
        <w:t xml:space="preserve"> = </w:t>
      </w:r>
      <w:r w:rsidRPr="00BC6BBD">
        <w:t>0.0</w:t>
      </w:r>
      <w:r>
        <w:t>4</w:t>
      </w:r>
      <w:r w:rsidR="00EF6719">
        <w:t>;</w:t>
      </w:r>
      <w:r w:rsidR="003378E4">
        <w:t xml:space="preserve"> d = 0.86; CI =</w:t>
      </w:r>
      <w:r w:rsidR="008B39C9" w:rsidRPr="008B39C9">
        <w:t xml:space="preserve"> -0.16 to -0.00</w:t>
      </w:r>
      <w:r w:rsidR="00543835">
        <w:t>2</w:t>
      </w:r>
      <w:r w:rsidRPr="00BC6BBD">
        <w:t>)</w:t>
      </w:r>
      <w:r>
        <w:t xml:space="preserve"> (Figure </w:t>
      </w:r>
      <w:r w:rsidR="00632044">
        <w:t>20</w:t>
      </w:r>
      <w:r>
        <w:t>A)</w:t>
      </w:r>
      <w:r w:rsidRPr="00BC6BBD">
        <w:t xml:space="preserve">. No significant differences between pre-post treatment weight were observed in rabbits euthanized at the </w:t>
      </w:r>
      <w:r>
        <w:t>3-day</w:t>
      </w:r>
      <w:r w:rsidRPr="00BC6BBD">
        <w:t xml:space="preserve"> timepoint</w:t>
      </w:r>
      <w:r>
        <w:t xml:space="preserve"> (Figure </w:t>
      </w:r>
      <w:r w:rsidR="00632044">
        <w:t>20</w:t>
      </w:r>
      <w:r>
        <w:t>B)</w:t>
      </w:r>
      <w:r w:rsidRPr="00BC6BBD">
        <w:t xml:space="preserve">. There was a significant </w:t>
      </w:r>
      <w:r>
        <w:t xml:space="preserve">body mass </w:t>
      </w:r>
      <w:r w:rsidRPr="00BC6BBD">
        <w:t>decrease in rabbits treated with methylprednisolone (</w:t>
      </w:r>
      <w:r w:rsidR="00780CC7" w:rsidRPr="00780CC7">
        <w:t>F(12, 12) = 15.55</w:t>
      </w:r>
      <w:r w:rsidR="00780CC7">
        <w:t>;</w:t>
      </w:r>
      <w:r w:rsidR="00780CC7" w:rsidRPr="00780CC7">
        <w:t xml:space="preserve"> </w:t>
      </w:r>
      <w:r w:rsidRPr="00BC6BBD">
        <w:t>p</w:t>
      </w:r>
      <w:r>
        <w:t xml:space="preserve"> </w:t>
      </w:r>
      <w:r w:rsidR="0026095F">
        <w:t>=</w:t>
      </w:r>
      <w:r>
        <w:t xml:space="preserve"> </w:t>
      </w:r>
      <w:r w:rsidRPr="00BC6BBD">
        <w:t>0.0</w:t>
      </w:r>
      <w:r w:rsidR="0026095F">
        <w:t>0</w:t>
      </w:r>
      <w:r w:rsidRPr="00BC6BBD">
        <w:t>1</w:t>
      </w:r>
      <w:r w:rsidR="0026095F">
        <w:t xml:space="preserve">; d = 1.11; CI = </w:t>
      </w:r>
      <w:r w:rsidR="00967820" w:rsidRPr="00967820">
        <w:t>0.097 to 0.3</w:t>
      </w:r>
      <w:r w:rsidR="00543835">
        <w:t>5</w:t>
      </w:r>
      <w:r w:rsidRPr="00BC6BBD">
        <w:t xml:space="preserve">), and a significant </w:t>
      </w:r>
      <w:r>
        <w:t>body mass</w:t>
      </w:r>
      <w:r w:rsidRPr="00BC6BBD">
        <w:t xml:space="preserve"> increase in rabbits treated with saline (</w:t>
      </w:r>
      <w:r w:rsidR="00AB31CD" w:rsidRPr="00780CC7">
        <w:t>F(12, 12) = 15.55</w:t>
      </w:r>
      <w:r w:rsidR="00AB31CD">
        <w:t>;</w:t>
      </w:r>
      <w:r w:rsidR="00AB31CD" w:rsidRPr="00780CC7">
        <w:t xml:space="preserve"> </w:t>
      </w:r>
      <w:r w:rsidRPr="00BC6BBD">
        <w:t>p</w:t>
      </w:r>
      <w:r w:rsidR="00635899">
        <w:t xml:space="preserve"> </w:t>
      </w:r>
      <w:r w:rsidRPr="00BC6BBD">
        <w:t>=</w:t>
      </w:r>
      <w:r w:rsidR="00635899">
        <w:t xml:space="preserve"> </w:t>
      </w:r>
      <w:r w:rsidRPr="00BC6BBD">
        <w:t>0.0</w:t>
      </w:r>
      <w:r>
        <w:t>4</w:t>
      </w:r>
      <w:r w:rsidR="00635899">
        <w:t>4</w:t>
      </w:r>
      <w:r w:rsidR="00543835">
        <w:t xml:space="preserve">; d = 0.81; CI = </w:t>
      </w:r>
      <w:r w:rsidR="00543835" w:rsidRPr="00543835">
        <w:t>-0.25 to -0.00</w:t>
      </w:r>
      <w:r w:rsidR="00543835">
        <w:t>3</w:t>
      </w:r>
      <w:r w:rsidRPr="00BC6BBD">
        <w:t xml:space="preserve">) at the </w:t>
      </w:r>
      <w:r>
        <w:t>7-day</w:t>
      </w:r>
      <w:r w:rsidRPr="00BC6BBD">
        <w:t xml:space="preserve"> timepoint</w:t>
      </w:r>
      <w:r>
        <w:t xml:space="preserve"> (Figure </w:t>
      </w:r>
      <w:r w:rsidR="00632044">
        <w:t>20</w:t>
      </w:r>
      <w:r>
        <w:t>C)</w:t>
      </w:r>
      <w:r w:rsidRPr="00BC6BBD">
        <w:t>.</w:t>
      </w:r>
      <w:r w:rsidR="000E0165" w:rsidRPr="000E0165">
        <w:rPr>
          <w:noProof/>
        </w:rPr>
        <w:t xml:space="preserve"> </w:t>
      </w:r>
    </w:p>
    <w:p w14:paraId="20625730" w14:textId="77777777" w:rsidR="005458BC" w:rsidRDefault="005458BC" w:rsidP="00F75D2A"/>
    <w:p w14:paraId="68BD3D8C" w14:textId="77777777" w:rsidR="004B56DE" w:rsidRDefault="004B56DE" w:rsidP="00F75D2A"/>
    <w:p w14:paraId="400F7FF8" w14:textId="77777777" w:rsidR="007749F5" w:rsidRDefault="000E6870" w:rsidP="007749F5">
      <w:pPr>
        <w:keepNext/>
        <w:ind w:firstLine="0"/>
        <w:jc w:val="center"/>
      </w:pPr>
      <w:r>
        <w:rPr>
          <w:noProof/>
        </w:rPr>
        <w:drawing>
          <wp:inline distT="0" distB="0" distL="0" distR="0" wp14:anchorId="21DB9D8A" wp14:editId="243CD6D8">
            <wp:extent cx="5939790" cy="1649095"/>
            <wp:effectExtent l="0" t="0" r="381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cstate="hqprint">
                      <a:extLst>
                        <a:ext uri="{28A0092B-C50C-407E-A947-70E740481C1C}">
                          <a14:useLocalDpi xmlns:a14="http://schemas.microsoft.com/office/drawing/2010/main" val="0"/>
                        </a:ext>
                      </a:extLst>
                    </a:blip>
                    <a:srcRect/>
                    <a:stretch>
                      <a:fillRect/>
                    </a:stretch>
                  </pic:blipFill>
                  <pic:spPr bwMode="auto">
                    <a:xfrm>
                      <a:off x="0" y="0"/>
                      <a:ext cx="5939790" cy="1649095"/>
                    </a:xfrm>
                    <a:prstGeom prst="rect">
                      <a:avLst/>
                    </a:prstGeom>
                    <a:noFill/>
                    <a:ln>
                      <a:noFill/>
                    </a:ln>
                  </pic:spPr>
                </pic:pic>
              </a:graphicData>
            </a:graphic>
          </wp:inline>
        </w:drawing>
      </w:r>
    </w:p>
    <w:p w14:paraId="28DCD87F" w14:textId="3C2DA81F" w:rsidR="00783545" w:rsidRPr="00D3327B" w:rsidRDefault="007749F5" w:rsidP="007749F5">
      <w:pPr>
        <w:pStyle w:val="Caption"/>
        <w:rPr>
          <w:vanish/>
          <w:specVanish/>
        </w:rPr>
      </w:pPr>
      <w:bookmarkStart w:id="101" w:name="_Toc88218613"/>
      <w:r>
        <w:t xml:space="preserve">Figure </w:t>
      </w:r>
      <w:r>
        <w:fldChar w:fldCharType="begin"/>
      </w:r>
      <w:r>
        <w:instrText xml:space="preserve"> SEQ Figure \* ARABIC </w:instrText>
      </w:r>
      <w:r>
        <w:fldChar w:fldCharType="separate"/>
      </w:r>
      <w:r w:rsidR="00CD04FC">
        <w:t>20</w:t>
      </w:r>
      <w:r>
        <w:fldChar w:fldCharType="end"/>
      </w:r>
      <w:r>
        <w:t>:</w:t>
      </w:r>
      <w:r w:rsidR="00E93BDD">
        <w:t xml:space="preserve"> </w:t>
      </w:r>
      <w:bookmarkStart w:id="102" w:name="OLE_LINK2"/>
      <w:r w:rsidR="00E93BDD">
        <w:rPr>
          <w:color w:val="000000" w:themeColor="text1"/>
        </w:rPr>
        <w:t>Scatter plots showing pre and post-treatment body mass (kg)</w:t>
      </w:r>
      <w:bookmarkEnd w:id="101"/>
      <w:bookmarkEnd w:id="102"/>
      <w:r w:rsidR="0051402A">
        <w:rPr>
          <w:color w:val="000000" w:themeColor="text1"/>
        </w:rPr>
        <w:t xml:space="preserve"> </w:t>
      </w:r>
    </w:p>
    <w:p w14:paraId="4CAA5B86" w14:textId="02F88534" w:rsidR="001E4E9E" w:rsidRPr="001E4E9E" w:rsidRDefault="00D3327B" w:rsidP="000C377B">
      <w:pPr>
        <w:pStyle w:val="CaptionDescription"/>
      </w:pPr>
      <w:r>
        <w:rPr>
          <w:color w:val="000000" w:themeColor="text1"/>
        </w:rPr>
        <w:t xml:space="preserve"> </w:t>
      </w:r>
      <w:r w:rsidR="0051402A">
        <w:rPr>
          <w:color w:val="000000" w:themeColor="text1"/>
        </w:rPr>
        <w:t xml:space="preserve">for rabbits treated with dexamethasone, methylprednisolone, or saline (vehicle control), and euthanized at </w:t>
      </w:r>
      <w:r w:rsidR="0051402A" w:rsidRPr="00964018">
        <w:t>1</w:t>
      </w:r>
      <w:r w:rsidR="0051402A">
        <w:t>-</w:t>
      </w:r>
      <w:r w:rsidR="0051402A" w:rsidRPr="00964018">
        <w:t>day following termination of injection</w:t>
      </w:r>
      <w:r w:rsidR="0051402A">
        <w:t>s (A)</w:t>
      </w:r>
      <w:r w:rsidR="0051402A" w:rsidRPr="00964018">
        <w:t>,</w:t>
      </w:r>
      <w:r w:rsidR="0051402A">
        <w:t xml:space="preserve"> </w:t>
      </w:r>
      <w:r w:rsidR="0051402A" w:rsidRPr="00964018">
        <w:t>3</w:t>
      </w:r>
      <w:r w:rsidR="0051402A">
        <w:t>-</w:t>
      </w:r>
      <w:r w:rsidR="0051402A" w:rsidRPr="00964018">
        <w:t>days following termination of injections</w:t>
      </w:r>
      <w:r w:rsidR="0051402A">
        <w:t xml:space="preserve"> (B)</w:t>
      </w:r>
      <w:r w:rsidR="0051402A" w:rsidRPr="00964018">
        <w:t>, and</w:t>
      </w:r>
      <w:r w:rsidR="0051402A">
        <w:t xml:space="preserve"> </w:t>
      </w:r>
      <w:r w:rsidR="0051402A" w:rsidRPr="00964018">
        <w:t>7</w:t>
      </w:r>
      <w:r w:rsidR="0051402A">
        <w:t>-</w:t>
      </w:r>
      <w:r w:rsidR="0051402A" w:rsidRPr="00964018">
        <w:t>days following termination of injections</w:t>
      </w:r>
      <w:r w:rsidR="0051402A">
        <w:t xml:space="preserve"> (C).</w:t>
      </w:r>
      <w:r w:rsidR="001E4E9E">
        <w:t xml:space="preserve"> * =  p &lt; 0.05; ** = p &lt; 0.01</w:t>
      </w:r>
    </w:p>
    <w:p w14:paraId="1ED5F88A" w14:textId="143B4409" w:rsidR="000C377B" w:rsidRDefault="000C377B" w:rsidP="000C377B">
      <w:pPr>
        <w:pStyle w:val="Heading3"/>
      </w:pPr>
      <w:bookmarkStart w:id="103" w:name="_Toc88218559"/>
      <w:r>
        <w:t>Thyroarytenoid Muscle Cross-sectional Area</w:t>
      </w:r>
      <w:bookmarkEnd w:id="103"/>
    </w:p>
    <w:p w14:paraId="220DDFFE" w14:textId="122ABFE9" w:rsidR="005D3C7E" w:rsidRDefault="000C377B" w:rsidP="000C377B">
      <w:r w:rsidRPr="00BC6BBD">
        <w:rPr>
          <w:color w:val="000000" w:themeColor="text1"/>
        </w:rPr>
        <w:t>A two-way ANOVA revealed no significant interactions or main effects of treatment conditions or euthanasia time points</w:t>
      </w:r>
      <w:r>
        <w:rPr>
          <w:color w:val="000000" w:themeColor="text1"/>
        </w:rPr>
        <w:t xml:space="preserve"> on TA CSA (Figure 2</w:t>
      </w:r>
      <w:r w:rsidR="00632044">
        <w:rPr>
          <w:color w:val="000000" w:themeColor="text1"/>
        </w:rPr>
        <w:t>1</w:t>
      </w:r>
      <w:r w:rsidR="00142F8E">
        <w:rPr>
          <w:color w:val="000000" w:themeColor="text1"/>
        </w:rPr>
        <w:t>A-D</w:t>
      </w:r>
      <w:r>
        <w:rPr>
          <w:color w:val="000000" w:themeColor="text1"/>
        </w:rPr>
        <w:t>)</w:t>
      </w:r>
      <w:r w:rsidRPr="00BC6BBD">
        <w:rPr>
          <w:color w:val="000000" w:themeColor="text1"/>
        </w:rPr>
        <w:t>.</w:t>
      </w:r>
      <w:r w:rsidRPr="003D12C3">
        <w:t xml:space="preserve"> </w:t>
      </w:r>
      <w:r>
        <w:t>To establish intra-rater reliability, 10% o</w:t>
      </w:r>
      <w:r w:rsidRPr="00644B3A">
        <w:t>f the samples were randomly selected and redundant</w:t>
      </w:r>
      <w:r>
        <w:t>ly</w:t>
      </w:r>
      <w:r w:rsidRPr="00644B3A">
        <w:t xml:space="preserve"> analyzed</w:t>
      </w:r>
      <w:r>
        <w:t xml:space="preserve">. The calculated </w:t>
      </w:r>
      <w:r w:rsidRPr="00BC6BBD">
        <w:t>correlation coefficient revealed excellent reliability (r</w:t>
      </w:r>
      <w:r>
        <w:t xml:space="preserve"> </w:t>
      </w:r>
      <w:r w:rsidRPr="00BC6BBD">
        <w:t>=</w:t>
      </w:r>
      <w:r>
        <w:t xml:space="preserve"> </w:t>
      </w:r>
      <w:r w:rsidRPr="00BC6BBD">
        <w:t>0.96)</w:t>
      </w:r>
      <w:r>
        <w:t xml:space="preserve"> between ratings.</w:t>
      </w:r>
      <w:r w:rsidR="005D3C7E" w:rsidRPr="005D3C7E">
        <w:t xml:space="preserve"> </w:t>
      </w:r>
    </w:p>
    <w:p w14:paraId="647D4857" w14:textId="77777777" w:rsidR="00CC7342" w:rsidRDefault="00CC7342" w:rsidP="000C377B"/>
    <w:p w14:paraId="4BAE0A99" w14:textId="2490C757" w:rsidR="00CC7342" w:rsidRDefault="00D85764" w:rsidP="00CC7342">
      <w:pPr>
        <w:keepNext/>
        <w:ind w:firstLine="0"/>
      </w:pPr>
      <w:r>
        <w:rPr>
          <w:noProof/>
        </w:rPr>
        <w:drawing>
          <wp:inline distT="0" distB="0" distL="0" distR="0" wp14:anchorId="6BCBF4C8" wp14:editId="1802B45F">
            <wp:extent cx="5843954" cy="4091858"/>
            <wp:effectExtent l="0" t="0" r="4445"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58015" cy="4101703"/>
                    </a:xfrm>
                    <a:prstGeom prst="rect">
                      <a:avLst/>
                    </a:prstGeom>
                    <a:noFill/>
                    <a:ln>
                      <a:noFill/>
                    </a:ln>
                  </pic:spPr>
                </pic:pic>
              </a:graphicData>
            </a:graphic>
          </wp:inline>
        </w:drawing>
      </w:r>
    </w:p>
    <w:p w14:paraId="64B13217" w14:textId="3420E2E8" w:rsidR="000C377B" w:rsidRPr="00F10728" w:rsidRDefault="00CC7342" w:rsidP="00CC7342">
      <w:pPr>
        <w:pStyle w:val="Caption"/>
        <w:rPr>
          <w:vanish/>
          <w:color w:val="000000" w:themeColor="text1"/>
          <w:specVanish/>
        </w:rPr>
      </w:pPr>
      <w:bookmarkStart w:id="104" w:name="_Toc88218614"/>
      <w:r>
        <w:t xml:space="preserve">Figure </w:t>
      </w:r>
      <w:r>
        <w:fldChar w:fldCharType="begin"/>
      </w:r>
      <w:r>
        <w:instrText xml:space="preserve"> SEQ Figure \* ARABIC </w:instrText>
      </w:r>
      <w:r>
        <w:fldChar w:fldCharType="separate"/>
      </w:r>
      <w:r w:rsidR="00CD04FC">
        <w:t>21</w:t>
      </w:r>
      <w:r>
        <w:fldChar w:fldCharType="end"/>
      </w:r>
      <w:r>
        <w:t xml:space="preserve">: </w:t>
      </w:r>
      <w:r w:rsidR="00F3708B">
        <w:rPr>
          <w:color w:val="000000" w:themeColor="text1"/>
        </w:rPr>
        <w:t>H&amp;E</w:t>
      </w:r>
      <w:r w:rsidR="00F3708B" w:rsidRPr="00174F36">
        <w:rPr>
          <w:color w:val="000000" w:themeColor="text1"/>
        </w:rPr>
        <w:t xml:space="preserve"> stained </w:t>
      </w:r>
      <w:r w:rsidR="00F3708B">
        <w:rPr>
          <w:color w:val="000000" w:themeColor="text1"/>
        </w:rPr>
        <w:t>TA</w:t>
      </w:r>
      <w:r w:rsidR="00F3708B" w:rsidRPr="00174F36">
        <w:rPr>
          <w:color w:val="000000" w:themeColor="text1"/>
        </w:rPr>
        <w:t xml:space="preserve"> muscle</w:t>
      </w:r>
      <w:r w:rsidR="00F3708B">
        <w:rPr>
          <w:color w:val="000000" w:themeColor="text1"/>
        </w:rPr>
        <w:t xml:space="preserve"> fibers and scatter plot</w:t>
      </w:r>
      <w:bookmarkEnd w:id="104"/>
    </w:p>
    <w:p w14:paraId="40ADC025" w14:textId="5D39C023" w:rsidR="000C377B" w:rsidRPr="000C377B" w:rsidRDefault="00F10728" w:rsidP="0033607F">
      <w:pPr>
        <w:pStyle w:val="CaptionDescription"/>
      </w:pPr>
      <w:r>
        <w:t xml:space="preserve"> </w:t>
      </w:r>
      <w:r w:rsidR="006E45A2">
        <w:t>from</w:t>
      </w:r>
      <w:r w:rsidR="006E45A2" w:rsidRPr="00174F36">
        <w:t xml:space="preserve"> </w:t>
      </w:r>
      <w:r w:rsidR="006E45A2">
        <w:t>rabbits</w:t>
      </w:r>
      <w:r w:rsidR="006E45A2" w:rsidRPr="00174F36">
        <w:t xml:space="preserve"> treated with</w:t>
      </w:r>
      <w:r w:rsidR="006E45A2" w:rsidRPr="00633E00">
        <w:rPr>
          <w:bCs/>
        </w:rPr>
        <w:t xml:space="preserve"> </w:t>
      </w:r>
      <w:r w:rsidR="006E45A2">
        <w:t>d</w:t>
      </w:r>
      <w:r w:rsidR="006E45A2" w:rsidRPr="00174F36">
        <w:t>examethasone</w:t>
      </w:r>
      <w:r w:rsidR="006E45A2">
        <w:t xml:space="preserve"> (A)</w:t>
      </w:r>
      <w:r w:rsidR="006E45A2" w:rsidRPr="00174F36">
        <w:t>,</w:t>
      </w:r>
      <w:r w:rsidR="006E45A2">
        <w:t xml:space="preserve"> m</w:t>
      </w:r>
      <w:r w:rsidR="006E45A2" w:rsidRPr="00174F36">
        <w:t>ethylprednisolone</w:t>
      </w:r>
      <w:r w:rsidR="006E45A2">
        <w:t xml:space="preserve"> (B), and</w:t>
      </w:r>
      <w:r w:rsidR="006E45A2" w:rsidRPr="00174F36">
        <w:t xml:space="preserve"> </w:t>
      </w:r>
      <w:r w:rsidR="006E45A2">
        <w:t>saline (C)</w:t>
      </w:r>
      <w:r w:rsidR="00B921AF">
        <w:t>.</w:t>
      </w:r>
      <w:r w:rsidR="006E45A2">
        <w:t xml:space="preserve"> </w:t>
      </w:r>
      <w:r w:rsidR="006E45A2" w:rsidRPr="00174F36">
        <w:t xml:space="preserve">Scatter plot </w:t>
      </w:r>
      <w:r>
        <w:t>di</w:t>
      </w:r>
      <w:r w:rsidR="000F22FE">
        <w:t>s</w:t>
      </w:r>
      <w:r>
        <w:t>plays</w:t>
      </w:r>
      <w:r w:rsidR="006E45A2">
        <w:t xml:space="preserve"> means and SDs for</w:t>
      </w:r>
      <w:r w:rsidR="006E45A2" w:rsidRPr="00174F36">
        <w:t xml:space="preserve"> </w:t>
      </w:r>
      <w:r>
        <w:t>TA</w:t>
      </w:r>
      <w:r w:rsidR="006E45A2" w:rsidRPr="00174F36">
        <w:t xml:space="preserve"> </w:t>
      </w:r>
      <w:r w:rsidR="006E45A2">
        <w:t>m</w:t>
      </w:r>
      <w:r w:rsidR="006E45A2" w:rsidRPr="00174F36">
        <w:t>uscle CSA measures</w:t>
      </w:r>
      <w:r w:rsidR="006E45A2">
        <w:t xml:space="preserve"> across drug and euthanasia timepoints. </w:t>
      </w:r>
      <w:r w:rsidR="006E45A2" w:rsidRPr="00F216EF">
        <w:t>Scale bars</w:t>
      </w:r>
      <w:r w:rsidR="00C2104C">
        <w:t>:</w:t>
      </w:r>
      <w:r w:rsidR="006E45A2" w:rsidRPr="00F216EF">
        <w:t xml:space="preserve"> 1</w:t>
      </w:r>
      <w:r w:rsidR="006E45A2">
        <w:t>50</w:t>
      </w:r>
      <w:r w:rsidR="006E45A2" w:rsidRPr="00F216EF">
        <w:t xml:space="preserve"> µm.</w:t>
      </w:r>
    </w:p>
    <w:p w14:paraId="51094DCF" w14:textId="50655EB1" w:rsidR="00F10728" w:rsidRDefault="00EB7D66">
      <w:pPr>
        <w:pStyle w:val="Heading3"/>
      </w:pPr>
      <w:bookmarkStart w:id="105" w:name="_Toc88218560"/>
      <w:r>
        <w:t>Immunofluorescence Expression</w:t>
      </w:r>
      <w:bookmarkEnd w:id="105"/>
      <w:r>
        <w:t xml:space="preserve"> </w:t>
      </w:r>
    </w:p>
    <w:p w14:paraId="52B84DE4" w14:textId="7FE1504B" w:rsidR="00057149" w:rsidRDefault="00057149" w:rsidP="00057149">
      <w:pPr>
        <w:rPr>
          <w:color w:val="000000" w:themeColor="text1"/>
        </w:rPr>
      </w:pPr>
      <w:r w:rsidRPr="00BC6BBD">
        <w:rPr>
          <w:color w:val="000000" w:themeColor="text1"/>
        </w:rPr>
        <w:t>A two-way ANOVA</w:t>
      </w:r>
      <w:r>
        <w:rPr>
          <w:color w:val="000000" w:themeColor="text1"/>
        </w:rPr>
        <w:t xml:space="preserve"> </w:t>
      </w:r>
      <w:r w:rsidR="00674C9F">
        <w:rPr>
          <w:color w:val="000000" w:themeColor="text1"/>
        </w:rPr>
        <w:t>and</w:t>
      </w:r>
      <w:r>
        <w:rPr>
          <w:color w:val="000000" w:themeColor="text1"/>
        </w:rPr>
        <w:t xml:space="preserve"> Tukey’s </w:t>
      </w:r>
      <w:r w:rsidR="00674C9F">
        <w:rPr>
          <w:color w:val="000000" w:themeColor="text1"/>
        </w:rPr>
        <w:t>multiple comparison</w:t>
      </w:r>
      <w:r w:rsidR="002E60B1">
        <w:rPr>
          <w:color w:val="000000" w:themeColor="text1"/>
        </w:rPr>
        <w:t>s</w:t>
      </w:r>
      <w:r w:rsidR="00674C9F">
        <w:rPr>
          <w:color w:val="000000" w:themeColor="text1"/>
        </w:rPr>
        <w:t xml:space="preserve"> test</w:t>
      </w:r>
      <w:r>
        <w:rPr>
          <w:color w:val="000000" w:themeColor="text1"/>
        </w:rPr>
        <w:t xml:space="preserve"> </w:t>
      </w:r>
      <w:r w:rsidRPr="00BC6BBD">
        <w:rPr>
          <w:color w:val="000000" w:themeColor="text1"/>
        </w:rPr>
        <w:t xml:space="preserve">revealed a significant increase in ZO-1 fluorescence expression </w:t>
      </w:r>
      <w:r>
        <w:rPr>
          <w:color w:val="000000" w:themeColor="text1"/>
        </w:rPr>
        <w:t>with</w:t>
      </w:r>
      <w:r w:rsidRPr="00BC6BBD">
        <w:rPr>
          <w:color w:val="000000" w:themeColor="text1"/>
        </w:rPr>
        <w:t xml:space="preserve"> dexamethasone treatment compared to saline </w:t>
      </w:r>
      <w:r>
        <w:rPr>
          <w:color w:val="000000" w:themeColor="text1"/>
        </w:rPr>
        <w:t>treatment</w:t>
      </w:r>
      <w:r w:rsidRPr="00BC6BBD">
        <w:rPr>
          <w:color w:val="000000" w:themeColor="text1"/>
        </w:rPr>
        <w:t xml:space="preserve"> at all time</w:t>
      </w:r>
      <w:r w:rsidR="000F22FE">
        <w:rPr>
          <w:color w:val="000000" w:themeColor="text1"/>
        </w:rPr>
        <w:t xml:space="preserve"> </w:t>
      </w:r>
      <w:r w:rsidRPr="00BC6BBD">
        <w:rPr>
          <w:color w:val="000000" w:themeColor="text1"/>
        </w:rPr>
        <w:t>points (</w:t>
      </w:r>
      <w:r w:rsidR="00B83F58" w:rsidRPr="00B83F58">
        <w:rPr>
          <w:color w:val="000000" w:themeColor="text1"/>
        </w:rPr>
        <w:t>F (2, 107) = 3.66</w:t>
      </w:r>
      <w:r w:rsidR="00B83F58">
        <w:rPr>
          <w:color w:val="000000" w:themeColor="text1"/>
        </w:rPr>
        <w:t xml:space="preserve">; </w:t>
      </w:r>
      <w:r w:rsidRPr="00BC6BBD">
        <w:rPr>
          <w:color w:val="000000" w:themeColor="text1"/>
        </w:rPr>
        <w:t>p</w:t>
      </w:r>
      <w:r>
        <w:rPr>
          <w:color w:val="000000" w:themeColor="text1"/>
        </w:rPr>
        <w:t xml:space="preserve"> </w:t>
      </w:r>
      <w:r w:rsidRPr="00BC6BBD">
        <w:rPr>
          <w:color w:val="000000" w:themeColor="text1"/>
        </w:rPr>
        <w:t>=</w:t>
      </w:r>
      <w:r>
        <w:rPr>
          <w:color w:val="000000" w:themeColor="text1"/>
        </w:rPr>
        <w:t xml:space="preserve"> </w:t>
      </w:r>
      <w:r w:rsidRPr="00BC6BBD">
        <w:rPr>
          <w:color w:val="000000" w:themeColor="text1"/>
        </w:rPr>
        <w:t>0.0</w:t>
      </w:r>
      <w:r>
        <w:rPr>
          <w:color w:val="000000" w:themeColor="text1"/>
        </w:rPr>
        <w:t>4</w:t>
      </w:r>
      <w:r w:rsidR="00B83F58">
        <w:rPr>
          <w:color w:val="000000" w:themeColor="text1"/>
        </w:rPr>
        <w:t>; f =</w:t>
      </w:r>
      <w:r w:rsidR="00F9300C">
        <w:rPr>
          <w:color w:val="000000" w:themeColor="text1"/>
        </w:rPr>
        <w:t xml:space="preserve"> </w:t>
      </w:r>
      <w:r w:rsidR="000A2960">
        <w:rPr>
          <w:color w:val="000000" w:themeColor="text1"/>
        </w:rPr>
        <w:t xml:space="preserve">0.07; </w:t>
      </w:r>
      <w:r w:rsidR="0067664F">
        <w:rPr>
          <w:color w:val="000000" w:themeColor="text1"/>
        </w:rPr>
        <w:t xml:space="preserve">CI = </w:t>
      </w:r>
      <w:r w:rsidR="0067664F" w:rsidRPr="0067664F">
        <w:rPr>
          <w:color w:val="000000" w:themeColor="text1"/>
        </w:rPr>
        <w:t>0.00</w:t>
      </w:r>
      <w:r w:rsidR="0067664F">
        <w:rPr>
          <w:color w:val="000000" w:themeColor="text1"/>
        </w:rPr>
        <w:t xml:space="preserve">3 </w:t>
      </w:r>
      <w:r w:rsidR="0067664F" w:rsidRPr="0067664F">
        <w:rPr>
          <w:color w:val="000000" w:themeColor="text1"/>
        </w:rPr>
        <w:t>to 0.10</w:t>
      </w:r>
      <w:r w:rsidRPr="00BC6BBD">
        <w:rPr>
          <w:color w:val="000000" w:themeColor="text1"/>
        </w:rPr>
        <w:t>)</w:t>
      </w:r>
      <w:r>
        <w:rPr>
          <w:color w:val="000000" w:themeColor="text1"/>
        </w:rPr>
        <w:t xml:space="preserve"> (Figure </w:t>
      </w:r>
      <w:r w:rsidR="00631C1A">
        <w:rPr>
          <w:color w:val="000000" w:themeColor="text1"/>
        </w:rPr>
        <w:t>2</w:t>
      </w:r>
      <w:r w:rsidR="00632044">
        <w:rPr>
          <w:color w:val="000000" w:themeColor="text1"/>
        </w:rPr>
        <w:t>2</w:t>
      </w:r>
      <w:r>
        <w:rPr>
          <w:color w:val="000000" w:themeColor="text1"/>
        </w:rPr>
        <w:t>A-D).</w:t>
      </w:r>
      <w:r w:rsidRPr="00BC6BBD">
        <w:rPr>
          <w:color w:val="000000" w:themeColor="text1"/>
        </w:rPr>
        <w:t xml:space="preserve"> There were no significant interactions or main effects of treatment conditions or euthanasia time points </w:t>
      </w:r>
      <w:r>
        <w:rPr>
          <w:color w:val="000000" w:themeColor="text1"/>
        </w:rPr>
        <w:t>on</w:t>
      </w:r>
      <w:r w:rsidRPr="00BC6BBD">
        <w:rPr>
          <w:color w:val="000000" w:themeColor="text1"/>
        </w:rPr>
        <w:t xml:space="preserve"> CD31 or GCR fluorescence expression</w:t>
      </w:r>
      <w:r>
        <w:rPr>
          <w:color w:val="000000" w:themeColor="text1"/>
        </w:rPr>
        <w:t xml:space="preserve"> (Figure </w:t>
      </w:r>
      <w:r w:rsidR="00631C1A">
        <w:rPr>
          <w:color w:val="000000" w:themeColor="text1"/>
        </w:rPr>
        <w:t>2</w:t>
      </w:r>
      <w:r w:rsidR="00632044">
        <w:rPr>
          <w:color w:val="000000" w:themeColor="text1"/>
        </w:rPr>
        <w:t>2</w:t>
      </w:r>
      <w:r>
        <w:rPr>
          <w:color w:val="000000" w:themeColor="text1"/>
        </w:rPr>
        <w:t>E-L)</w:t>
      </w:r>
      <w:r w:rsidRPr="00BC6BBD">
        <w:rPr>
          <w:color w:val="000000" w:themeColor="text1"/>
        </w:rPr>
        <w:t>.</w:t>
      </w:r>
    </w:p>
    <w:p w14:paraId="78579741" w14:textId="77777777" w:rsidR="0033607F" w:rsidRPr="00387DDB" w:rsidRDefault="0033607F" w:rsidP="00057149">
      <w:pPr>
        <w:rPr>
          <w:b/>
          <w:bCs/>
          <w:color w:val="000000" w:themeColor="text1"/>
        </w:rPr>
      </w:pPr>
    </w:p>
    <w:p w14:paraId="1E720E11" w14:textId="77777777" w:rsidR="0033607F" w:rsidRDefault="0033607F" w:rsidP="0033607F">
      <w:pPr>
        <w:keepNext/>
        <w:ind w:firstLine="0"/>
        <w:jc w:val="center"/>
      </w:pPr>
      <w:r>
        <w:rPr>
          <w:noProof/>
        </w:rPr>
        <w:drawing>
          <wp:inline distT="0" distB="0" distL="0" distR="0" wp14:anchorId="0D27EA6D" wp14:editId="1A41E4BD">
            <wp:extent cx="5921536" cy="3961472"/>
            <wp:effectExtent l="0" t="0" r="3175"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43">
                      <a:extLst>
                        <a:ext uri="{28A0092B-C50C-407E-A947-70E740481C1C}">
                          <a14:useLocalDpi xmlns:a14="http://schemas.microsoft.com/office/drawing/2010/main" val="0"/>
                        </a:ext>
                      </a:extLst>
                    </a:blip>
                    <a:srcRect t="295"/>
                    <a:stretch/>
                  </pic:blipFill>
                  <pic:spPr bwMode="auto">
                    <a:xfrm>
                      <a:off x="0" y="0"/>
                      <a:ext cx="5933960" cy="3969783"/>
                    </a:xfrm>
                    <a:prstGeom prst="rect">
                      <a:avLst/>
                    </a:prstGeom>
                    <a:noFill/>
                    <a:ln>
                      <a:noFill/>
                    </a:ln>
                    <a:extLst>
                      <a:ext uri="{53640926-AAD7-44D8-BBD7-CCE9431645EC}">
                        <a14:shadowObscured xmlns:a14="http://schemas.microsoft.com/office/drawing/2010/main"/>
                      </a:ext>
                    </a:extLst>
                  </pic:spPr>
                </pic:pic>
              </a:graphicData>
            </a:graphic>
          </wp:inline>
        </w:drawing>
      </w:r>
    </w:p>
    <w:p w14:paraId="4AD118FC" w14:textId="0AB6074E" w:rsidR="00057149" w:rsidRPr="0038726F" w:rsidRDefault="0033607F" w:rsidP="0033607F">
      <w:pPr>
        <w:pStyle w:val="Caption"/>
        <w:rPr>
          <w:vanish/>
          <w:color w:val="000000" w:themeColor="text1"/>
          <w:specVanish/>
        </w:rPr>
      </w:pPr>
      <w:bookmarkStart w:id="106" w:name="_Toc88218615"/>
      <w:r>
        <w:t xml:space="preserve">Figure </w:t>
      </w:r>
      <w:r>
        <w:fldChar w:fldCharType="begin"/>
      </w:r>
      <w:r>
        <w:instrText xml:space="preserve"> SEQ Figure \* ARABIC </w:instrText>
      </w:r>
      <w:r>
        <w:fldChar w:fldCharType="separate"/>
      </w:r>
      <w:r w:rsidR="00CD04FC">
        <w:t>22</w:t>
      </w:r>
      <w:r>
        <w:fldChar w:fldCharType="end"/>
      </w:r>
      <w:r w:rsidR="00297113">
        <w:t>:</w:t>
      </w:r>
      <w:r w:rsidR="00297113" w:rsidRPr="00297113">
        <w:rPr>
          <w:color w:val="000000" w:themeColor="text1"/>
        </w:rPr>
        <w:t xml:space="preserve"> </w:t>
      </w:r>
      <w:r w:rsidR="00297113">
        <w:rPr>
          <w:color w:val="000000" w:themeColor="text1"/>
        </w:rPr>
        <w:t>I</w:t>
      </w:r>
      <w:r w:rsidR="00297113" w:rsidRPr="00F216EF">
        <w:rPr>
          <w:color w:val="000000" w:themeColor="text1"/>
        </w:rPr>
        <w:t>mmunofluorescence</w:t>
      </w:r>
      <w:r w:rsidR="00297113">
        <w:rPr>
          <w:color w:val="000000" w:themeColor="text1"/>
        </w:rPr>
        <w:t xml:space="preserve"> </w:t>
      </w:r>
      <w:r w:rsidR="00297113" w:rsidRPr="00F216EF">
        <w:rPr>
          <w:color w:val="000000" w:themeColor="text1"/>
        </w:rPr>
        <w:t xml:space="preserve">images </w:t>
      </w:r>
      <w:r w:rsidR="00297113">
        <w:rPr>
          <w:color w:val="000000" w:themeColor="text1"/>
        </w:rPr>
        <w:t xml:space="preserve">of </w:t>
      </w:r>
      <w:r w:rsidR="0038726F">
        <w:rPr>
          <w:color w:val="000000" w:themeColor="text1"/>
        </w:rPr>
        <w:t xml:space="preserve">rabbit </w:t>
      </w:r>
      <w:r w:rsidR="00297113">
        <w:rPr>
          <w:color w:val="000000" w:themeColor="text1"/>
        </w:rPr>
        <w:t>VF</w:t>
      </w:r>
      <w:r w:rsidR="00297113" w:rsidRPr="00F216EF">
        <w:rPr>
          <w:color w:val="000000" w:themeColor="text1"/>
        </w:rPr>
        <w:t xml:space="preserve"> epithelium </w:t>
      </w:r>
      <w:r w:rsidR="00297113">
        <w:rPr>
          <w:color w:val="000000" w:themeColor="text1"/>
        </w:rPr>
        <w:t>and LP layers.</w:t>
      </w:r>
      <w:bookmarkEnd w:id="106"/>
    </w:p>
    <w:p w14:paraId="529014CD" w14:textId="6CB56437" w:rsidR="0038726F" w:rsidRPr="0038726F" w:rsidRDefault="0038726F" w:rsidP="0038726F">
      <w:pPr>
        <w:pStyle w:val="CaptionDescription"/>
      </w:pPr>
      <w:r>
        <w:t xml:space="preserve"> </w:t>
      </w:r>
      <w:r w:rsidRPr="0038726F">
        <w:t xml:space="preserve">Labeling for ZO-1 (A-C), CD31 (E-G), and GCR (I-K) from rabbits treated with dexamethasone (A,E,I), methylprednisolone (B,F,J), and saline (C,G,K) is </w:t>
      </w:r>
      <w:r w:rsidR="00265F55">
        <w:t>colored</w:t>
      </w:r>
      <w:r w:rsidRPr="0038726F">
        <w:t xml:space="preserve"> red. DAPI counterstain is </w:t>
      </w:r>
      <w:r w:rsidR="00265F55">
        <w:t>colored</w:t>
      </w:r>
      <w:r w:rsidRPr="0038726F">
        <w:t xml:space="preserve"> blue.</w:t>
      </w:r>
      <w:r w:rsidR="00A20A1A">
        <w:t xml:space="preserve"> </w:t>
      </w:r>
      <w:r w:rsidR="00A20A1A" w:rsidRPr="00174F36">
        <w:t xml:space="preserve">Scatter plot </w:t>
      </w:r>
      <w:r w:rsidR="00A20A1A">
        <w:t>di</w:t>
      </w:r>
      <w:r w:rsidR="000F22FE">
        <w:t>s</w:t>
      </w:r>
      <w:r w:rsidR="00A20A1A">
        <w:t>plays means and SDs for</w:t>
      </w:r>
      <w:r w:rsidR="00A20A1A" w:rsidRPr="00174F36">
        <w:t xml:space="preserve"> </w:t>
      </w:r>
      <w:r w:rsidR="00A20A1A">
        <w:t>normalized pix</w:t>
      </w:r>
      <w:r w:rsidR="0017189F">
        <w:t>e</w:t>
      </w:r>
      <w:r w:rsidR="00A20A1A">
        <w:t xml:space="preserve">l area </w:t>
      </w:r>
      <w:r w:rsidR="00A20A1A" w:rsidRPr="00174F36">
        <w:t>measures</w:t>
      </w:r>
      <w:r w:rsidR="00A20A1A">
        <w:t xml:space="preserve"> across drug and euthanasia timepoints</w:t>
      </w:r>
      <w:r w:rsidR="00F074D1">
        <w:t xml:space="preserve"> (D,H,L).</w:t>
      </w:r>
      <w:r w:rsidRPr="0038726F">
        <w:t xml:space="preserve"> Scale</w:t>
      </w:r>
      <w:r w:rsidR="00F074D1">
        <w:t xml:space="preserve"> bars</w:t>
      </w:r>
      <w:r w:rsidR="00C2104C">
        <w:t xml:space="preserve">: </w:t>
      </w:r>
      <w:r w:rsidRPr="0038726F">
        <w:t>150 µm.</w:t>
      </w:r>
      <w:r w:rsidR="00265F55">
        <w:t xml:space="preserve"> * =  p &lt; 0.05</w:t>
      </w:r>
    </w:p>
    <w:p w14:paraId="28D0C9F4" w14:textId="31D3D1FC" w:rsidR="00006518" w:rsidRDefault="00C65E7A" w:rsidP="00C65E7A">
      <w:pPr>
        <w:pStyle w:val="Heading2"/>
      </w:pPr>
      <w:bookmarkStart w:id="107" w:name="_Toc88218561"/>
      <w:r>
        <w:t xml:space="preserve">Occurrence </w:t>
      </w:r>
      <w:r w:rsidR="00A2445E">
        <w:t>o</w:t>
      </w:r>
      <w:r>
        <w:t>f Vocal Fold Atrophy after Intracordal Dexamethasone Injection</w:t>
      </w:r>
      <w:bookmarkEnd w:id="107"/>
    </w:p>
    <w:p w14:paraId="2CFB9DEF" w14:textId="35C302D3" w:rsidR="006B3B53" w:rsidRDefault="00F93406" w:rsidP="006B3B53">
      <w:pPr>
        <w:pStyle w:val="Heading3"/>
      </w:pPr>
      <w:bookmarkStart w:id="108" w:name="_Toc88218562"/>
      <w:r>
        <w:t>Thyroarytenoid Muscle Cross-sectional Area.</w:t>
      </w:r>
      <w:bookmarkEnd w:id="108"/>
    </w:p>
    <w:p w14:paraId="4B858201" w14:textId="5D859983" w:rsidR="00997948" w:rsidRDefault="00997948" w:rsidP="00997948">
      <w:r w:rsidRPr="00E57DCF">
        <w:rPr>
          <w:color w:val="000000" w:themeColor="text1"/>
        </w:rPr>
        <w:t xml:space="preserve">A non-parametric Kruskal-Wallis test </w:t>
      </w:r>
      <w:r w:rsidR="00674C9F">
        <w:rPr>
          <w:color w:val="000000" w:themeColor="text1"/>
        </w:rPr>
        <w:t>was</w:t>
      </w:r>
      <w:r>
        <w:rPr>
          <w:color w:val="000000" w:themeColor="text1"/>
        </w:rPr>
        <w:t xml:space="preserve"> used</w:t>
      </w:r>
      <w:r w:rsidRPr="00E57DCF">
        <w:rPr>
          <w:color w:val="000000" w:themeColor="text1"/>
        </w:rPr>
        <w:t xml:space="preserve"> due</w:t>
      </w:r>
      <w:r>
        <w:rPr>
          <w:color w:val="000000" w:themeColor="text1"/>
        </w:rPr>
        <w:t xml:space="preserve"> to apparent</w:t>
      </w:r>
      <w:r w:rsidRPr="00E57DCF">
        <w:rPr>
          <w:color w:val="000000" w:themeColor="text1"/>
        </w:rPr>
        <w:t xml:space="preserve"> differences in variance between experimental groups</w:t>
      </w:r>
      <w:r>
        <w:rPr>
          <w:color w:val="000000" w:themeColor="text1"/>
        </w:rPr>
        <w:t xml:space="preserve">. No significant differences in TA muscle CSA were observed. </w:t>
      </w:r>
      <w:r>
        <w:t>To establish intra-rater reliability, 10% o</w:t>
      </w:r>
      <w:r w:rsidRPr="00644B3A">
        <w:t>f the samples were randomly selected and redundant</w:t>
      </w:r>
      <w:r>
        <w:t>ly</w:t>
      </w:r>
      <w:r w:rsidRPr="00644B3A">
        <w:t xml:space="preserve"> analyzed</w:t>
      </w:r>
      <w:r>
        <w:t xml:space="preserve">. The calculated </w:t>
      </w:r>
      <w:r w:rsidRPr="00BC6BBD">
        <w:t xml:space="preserve">correlation coefficient revealed </w:t>
      </w:r>
      <w:r>
        <w:t>good</w:t>
      </w:r>
      <w:r w:rsidRPr="00BC6BBD">
        <w:t xml:space="preserve"> reliability (r</w:t>
      </w:r>
      <w:r>
        <w:t xml:space="preserve"> </w:t>
      </w:r>
      <w:r w:rsidRPr="00BC6BBD">
        <w:t>=</w:t>
      </w:r>
      <w:r>
        <w:t xml:space="preserve"> </w:t>
      </w:r>
      <w:r w:rsidRPr="00BC6BBD">
        <w:t>0.</w:t>
      </w:r>
      <w:r>
        <w:t>85</w:t>
      </w:r>
      <w:r w:rsidRPr="00BC6BBD">
        <w:t>)</w:t>
      </w:r>
      <w:r>
        <w:t xml:space="preserve"> between ratings</w:t>
      </w:r>
      <w:r w:rsidR="00632044">
        <w:t xml:space="preserve"> (Figure 23A-D)</w:t>
      </w:r>
      <w:r>
        <w:t>.</w:t>
      </w:r>
    </w:p>
    <w:p w14:paraId="77D82302" w14:textId="77777777" w:rsidR="00997948" w:rsidRPr="00BC6BBD" w:rsidRDefault="00997948" w:rsidP="00997948"/>
    <w:p w14:paraId="5AEC713B" w14:textId="77777777" w:rsidR="00963131" w:rsidRDefault="009C311C" w:rsidP="00963131">
      <w:pPr>
        <w:keepNext/>
        <w:ind w:firstLine="0"/>
      </w:pPr>
      <w:r>
        <w:rPr>
          <w:noProof/>
        </w:rPr>
        <w:drawing>
          <wp:inline distT="0" distB="0" distL="0" distR="0" wp14:anchorId="2B02BDEA" wp14:editId="567485DD">
            <wp:extent cx="6136313" cy="5187461"/>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40107" cy="5190668"/>
                    </a:xfrm>
                    <a:prstGeom prst="rect">
                      <a:avLst/>
                    </a:prstGeom>
                    <a:noFill/>
                    <a:ln>
                      <a:noFill/>
                    </a:ln>
                  </pic:spPr>
                </pic:pic>
              </a:graphicData>
            </a:graphic>
          </wp:inline>
        </w:drawing>
      </w:r>
    </w:p>
    <w:p w14:paraId="0F3B7940" w14:textId="0FF5895A" w:rsidR="00C03031" w:rsidRPr="00F10728" w:rsidRDefault="00963131" w:rsidP="00C03031">
      <w:pPr>
        <w:pStyle w:val="Caption"/>
        <w:rPr>
          <w:vanish/>
          <w:color w:val="000000" w:themeColor="text1"/>
          <w:specVanish/>
        </w:rPr>
      </w:pPr>
      <w:bookmarkStart w:id="109" w:name="_Toc88218616"/>
      <w:r>
        <w:t xml:space="preserve">Figure </w:t>
      </w:r>
      <w:r>
        <w:fldChar w:fldCharType="begin"/>
      </w:r>
      <w:r>
        <w:instrText xml:space="preserve"> SEQ Figure \* ARABIC </w:instrText>
      </w:r>
      <w:r>
        <w:fldChar w:fldCharType="separate"/>
      </w:r>
      <w:r w:rsidR="00CD04FC">
        <w:t>23</w:t>
      </w:r>
      <w:r>
        <w:fldChar w:fldCharType="end"/>
      </w:r>
      <w:r w:rsidR="00C03031">
        <w:t>:</w:t>
      </w:r>
      <w:r w:rsidR="00C03031" w:rsidRPr="00C03031">
        <w:rPr>
          <w:color w:val="000000" w:themeColor="text1"/>
        </w:rPr>
        <w:t xml:space="preserve"> </w:t>
      </w:r>
      <w:bookmarkStart w:id="110" w:name="_Hlk86057525"/>
      <w:r w:rsidR="00C03031">
        <w:rPr>
          <w:color w:val="000000" w:themeColor="text1"/>
        </w:rPr>
        <w:t>H&amp;E</w:t>
      </w:r>
      <w:r w:rsidR="00C03031" w:rsidRPr="00174F36">
        <w:rPr>
          <w:color w:val="000000" w:themeColor="text1"/>
        </w:rPr>
        <w:t xml:space="preserve"> stained </w:t>
      </w:r>
      <w:r w:rsidR="00C03031">
        <w:rPr>
          <w:color w:val="000000" w:themeColor="text1"/>
        </w:rPr>
        <w:t>TA</w:t>
      </w:r>
      <w:r w:rsidR="00C03031" w:rsidRPr="00174F36">
        <w:rPr>
          <w:color w:val="000000" w:themeColor="text1"/>
        </w:rPr>
        <w:t xml:space="preserve"> muscle</w:t>
      </w:r>
      <w:r w:rsidR="00C03031">
        <w:rPr>
          <w:color w:val="000000" w:themeColor="text1"/>
        </w:rPr>
        <w:t xml:space="preserve"> fibers and scatter plot</w:t>
      </w:r>
      <w:bookmarkEnd w:id="109"/>
    </w:p>
    <w:p w14:paraId="0C39A229" w14:textId="08AAB47D" w:rsidR="00A9751E" w:rsidRPr="00A9751E" w:rsidRDefault="00C03031" w:rsidP="00C03031">
      <w:pPr>
        <w:pStyle w:val="CaptionDescription"/>
      </w:pPr>
      <w:r>
        <w:t xml:space="preserve"> from</w:t>
      </w:r>
      <w:r w:rsidRPr="00174F36">
        <w:t xml:space="preserve"> </w:t>
      </w:r>
      <w:r>
        <w:t>rabbit</w:t>
      </w:r>
      <w:r w:rsidR="00783520">
        <w:t xml:space="preserve"> V</w:t>
      </w:r>
      <w:r w:rsidR="00935918">
        <w:t>F</w:t>
      </w:r>
      <w:r w:rsidR="00783520">
        <w:t>s</w:t>
      </w:r>
      <w:r w:rsidRPr="00174F36">
        <w:t xml:space="preserve"> </w:t>
      </w:r>
      <w:r w:rsidR="00783520">
        <w:t>injected</w:t>
      </w:r>
      <w:r w:rsidRPr="00174F36">
        <w:t xml:space="preserve"> with</w:t>
      </w:r>
      <w:r w:rsidRPr="00633E00">
        <w:rPr>
          <w:bCs/>
        </w:rPr>
        <w:t xml:space="preserve"> </w:t>
      </w:r>
      <w:r>
        <w:t>d</w:t>
      </w:r>
      <w:r w:rsidRPr="00174F36">
        <w:t>examethasone</w:t>
      </w:r>
      <w:r>
        <w:t xml:space="preserve"> (A)</w:t>
      </w:r>
      <w:r w:rsidRPr="00174F36">
        <w:t>,</w:t>
      </w:r>
      <w:r>
        <w:t xml:space="preserve"> </w:t>
      </w:r>
      <w:r w:rsidR="00783520">
        <w:t>saline</w:t>
      </w:r>
      <w:r>
        <w:t xml:space="preserve"> (B), and</w:t>
      </w:r>
      <w:r w:rsidRPr="00174F36">
        <w:t xml:space="preserve"> </w:t>
      </w:r>
      <w:r w:rsidR="004510D6">
        <w:t>untreated</w:t>
      </w:r>
      <w:r w:rsidR="00935918">
        <w:t xml:space="preserve"> controls</w:t>
      </w:r>
      <w:r>
        <w:t xml:space="preserve"> (C)</w:t>
      </w:r>
      <w:r w:rsidR="00935918">
        <w:t>.</w:t>
      </w:r>
      <w:r>
        <w:t xml:space="preserve"> </w:t>
      </w:r>
      <w:r w:rsidRPr="00174F36">
        <w:t>Scatter plot</w:t>
      </w:r>
      <w:r w:rsidR="00935918">
        <w:t xml:space="preserve"> (D)</w:t>
      </w:r>
      <w:r w:rsidRPr="00174F36">
        <w:t xml:space="preserve"> </w:t>
      </w:r>
      <w:r>
        <w:t>di</w:t>
      </w:r>
      <w:r w:rsidR="000A2960">
        <w:t>s</w:t>
      </w:r>
      <w:r>
        <w:t>plays means and SDs for</w:t>
      </w:r>
      <w:r w:rsidRPr="00174F36">
        <w:t xml:space="preserve"> </w:t>
      </w:r>
      <w:r>
        <w:t>TA</w:t>
      </w:r>
      <w:r w:rsidRPr="00174F36">
        <w:t xml:space="preserve"> </w:t>
      </w:r>
      <w:r>
        <w:t>m</w:t>
      </w:r>
      <w:r w:rsidRPr="00174F36">
        <w:t>uscle CSA measures</w:t>
      </w:r>
      <w:r>
        <w:t xml:space="preserve"> across </w:t>
      </w:r>
      <w:r w:rsidR="00935918">
        <w:t>treatment</w:t>
      </w:r>
      <w:r>
        <w:t xml:space="preserve">. </w:t>
      </w:r>
      <w:r w:rsidRPr="00F216EF">
        <w:t>Scale bars</w:t>
      </w:r>
      <w:r>
        <w:t>:</w:t>
      </w:r>
      <w:r w:rsidRPr="00F216EF">
        <w:t xml:space="preserve"> 1</w:t>
      </w:r>
      <w:r>
        <w:t>50</w:t>
      </w:r>
      <w:r w:rsidRPr="00F216EF">
        <w:t xml:space="preserve"> µm.</w:t>
      </w:r>
    </w:p>
    <w:p w14:paraId="7D821704" w14:textId="1755D54D" w:rsidR="002F3452" w:rsidRDefault="004510D6">
      <w:pPr>
        <w:pStyle w:val="Heading3"/>
      </w:pPr>
      <w:bookmarkStart w:id="111" w:name="_Toc88218563"/>
      <w:bookmarkEnd w:id="110"/>
      <w:r>
        <w:t>MuRF-1 Gene Expression</w:t>
      </w:r>
      <w:bookmarkEnd w:id="111"/>
    </w:p>
    <w:p w14:paraId="2726B8E2" w14:textId="03810A09" w:rsidR="004510D6" w:rsidRDefault="004510D6" w:rsidP="004510D6">
      <w:pPr>
        <w:rPr>
          <w:color w:val="000000" w:themeColor="text1"/>
        </w:rPr>
      </w:pPr>
      <w:bookmarkStart w:id="112" w:name="OLE_LINK3"/>
      <w:r w:rsidRPr="003B4A97">
        <w:rPr>
          <w:color w:val="000000" w:themeColor="text1"/>
        </w:rPr>
        <w:t>Two outliers from the dexamethasone (2</w:t>
      </w:r>
      <w:r w:rsidRPr="003B4A97">
        <w:rPr>
          <w:color w:val="000000" w:themeColor="text1"/>
          <w:vertAlign w:val="superscript"/>
        </w:rPr>
        <w:t>-ΔΔ</w:t>
      </w:r>
      <w:r>
        <w:rPr>
          <w:color w:val="000000" w:themeColor="text1"/>
          <w:vertAlign w:val="superscript"/>
        </w:rPr>
        <w:t>Ct</w:t>
      </w:r>
      <w:r>
        <w:rPr>
          <w:color w:val="000000" w:themeColor="text1"/>
        </w:rPr>
        <w:t xml:space="preserve"> = 123.48; 172.38)</w:t>
      </w:r>
      <w:r w:rsidRPr="003B4A97">
        <w:rPr>
          <w:color w:val="000000" w:themeColor="text1"/>
        </w:rPr>
        <w:t xml:space="preserve"> and saline</w:t>
      </w:r>
      <w:r>
        <w:rPr>
          <w:color w:val="000000" w:themeColor="text1"/>
        </w:rPr>
        <w:t xml:space="preserve"> (</w:t>
      </w:r>
      <w:r w:rsidRPr="003B4A97">
        <w:rPr>
          <w:color w:val="000000" w:themeColor="text1"/>
        </w:rPr>
        <w:t>2</w:t>
      </w:r>
      <w:r w:rsidRPr="003B4A97">
        <w:rPr>
          <w:color w:val="000000" w:themeColor="text1"/>
          <w:vertAlign w:val="superscript"/>
        </w:rPr>
        <w:t>-ΔΔ</w:t>
      </w:r>
      <w:r>
        <w:rPr>
          <w:color w:val="000000" w:themeColor="text1"/>
          <w:vertAlign w:val="superscript"/>
        </w:rPr>
        <w:t>Ct</w:t>
      </w:r>
      <w:r>
        <w:rPr>
          <w:color w:val="000000" w:themeColor="text1"/>
        </w:rPr>
        <w:t xml:space="preserve"> = 40.27; 22.71)</w:t>
      </w:r>
      <w:r w:rsidRPr="003B4A97">
        <w:rPr>
          <w:color w:val="000000" w:themeColor="text1"/>
        </w:rPr>
        <w:t xml:space="preserve"> treated VFs and three outliers from the untreated control VFs</w:t>
      </w:r>
      <w:r>
        <w:rPr>
          <w:color w:val="000000" w:themeColor="text1"/>
        </w:rPr>
        <w:t xml:space="preserve"> (</w:t>
      </w:r>
      <w:r w:rsidRPr="003B4A97">
        <w:rPr>
          <w:color w:val="000000" w:themeColor="text1"/>
        </w:rPr>
        <w:t>2</w:t>
      </w:r>
      <w:r w:rsidRPr="003B4A97">
        <w:rPr>
          <w:color w:val="000000" w:themeColor="text1"/>
          <w:vertAlign w:val="superscript"/>
        </w:rPr>
        <w:t>-ΔΔ</w:t>
      </w:r>
      <w:r>
        <w:rPr>
          <w:color w:val="000000" w:themeColor="text1"/>
          <w:vertAlign w:val="superscript"/>
        </w:rPr>
        <w:t>Ct</w:t>
      </w:r>
      <w:r>
        <w:rPr>
          <w:color w:val="000000" w:themeColor="text1"/>
        </w:rPr>
        <w:t xml:space="preserve"> = 133.69; 132.25; 145.2) </w:t>
      </w:r>
      <w:r w:rsidRPr="003B4A97">
        <w:rPr>
          <w:color w:val="000000" w:themeColor="text1"/>
        </w:rPr>
        <w:t>were excluded from analysis.</w:t>
      </w:r>
      <w:r>
        <w:rPr>
          <w:color w:val="000000" w:themeColor="text1"/>
        </w:rPr>
        <w:t xml:space="preserve"> A</w:t>
      </w:r>
      <w:r w:rsidR="00C06BB7">
        <w:rPr>
          <w:color w:val="000000" w:themeColor="text1"/>
        </w:rPr>
        <w:t xml:space="preserve"> </w:t>
      </w:r>
      <w:r w:rsidR="00C06BB7" w:rsidRPr="00E57DCF">
        <w:rPr>
          <w:color w:val="000000" w:themeColor="text1"/>
        </w:rPr>
        <w:t>Kruskal-Wallis test</w:t>
      </w:r>
      <w:r w:rsidR="00C06BB7">
        <w:rPr>
          <w:color w:val="000000" w:themeColor="text1"/>
        </w:rPr>
        <w:t xml:space="preserve"> </w:t>
      </w:r>
      <w:r>
        <w:rPr>
          <w:color w:val="000000" w:themeColor="text1"/>
        </w:rPr>
        <w:t>revealed no significant differences between experimental groups</w:t>
      </w:r>
      <w:r w:rsidR="000E0165">
        <w:rPr>
          <w:color w:val="000000" w:themeColor="text1"/>
        </w:rPr>
        <w:t xml:space="preserve"> (Figure 2</w:t>
      </w:r>
      <w:r w:rsidR="00632044">
        <w:rPr>
          <w:color w:val="000000" w:themeColor="text1"/>
        </w:rPr>
        <w:t>4</w:t>
      </w:r>
      <w:r w:rsidR="000E0165">
        <w:rPr>
          <w:color w:val="000000" w:themeColor="text1"/>
        </w:rPr>
        <w:t>)</w:t>
      </w:r>
      <w:r>
        <w:rPr>
          <w:color w:val="000000" w:themeColor="text1"/>
        </w:rPr>
        <w:t>.</w:t>
      </w:r>
    </w:p>
    <w:p w14:paraId="433594E7" w14:textId="77777777" w:rsidR="000E0165" w:rsidRPr="003B4A97" w:rsidRDefault="000E0165" w:rsidP="004510D6">
      <w:pPr>
        <w:rPr>
          <w:color w:val="000000" w:themeColor="text1"/>
        </w:rPr>
      </w:pPr>
    </w:p>
    <w:bookmarkEnd w:id="112"/>
    <w:p w14:paraId="5737F052" w14:textId="77777777" w:rsidR="000E0165" w:rsidRDefault="000E0165" w:rsidP="000E0165">
      <w:pPr>
        <w:keepNext/>
        <w:ind w:firstLine="0"/>
        <w:jc w:val="center"/>
      </w:pPr>
      <w:r>
        <w:rPr>
          <w:noProof/>
        </w:rPr>
        <w:drawing>
          <wp:inline distT="0" distB="0" distL="0" distR="0" wp14:anchorId="734AF38D" wp14:editId="43CE6DDD">
            <wp:extent cx="4460875" cy="3001010"/>
            <wp:effectExtent l="0" t="0" r="0" b="8890"/>
            <wp:docPr id="50" name="Picture 50"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Chart, box and whisker chart&#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60875" cy="3001010"/>
                    </a:xfrm>
                    <a:prstGeom prst="rect">
                      <a:avLst/>
                    </a:prstGeom>
                    <a:noFill/>
                    <a:ln>
                      <a:noFill/>
                    </a:ln>
                  </pic:spPr>
                </pic:pic>
              </a:graphicData>
            </a:graphic>
          </wp:inline>
        </w:drawing>
      </w:r>
    </w:p>
    <w:p w14:paraId="7491C595" w14:textId="2DE6D6F0" w:rsidR="004510D6" w:rsidRPr="004510D6" w:rsidRDefault="000E0165" w:rsidP="00A91937">
      <w:pPr>
        <w:pStyle w:val="Caption"/>
      </w:pPr>
      <w:bookmarkStart w:id="113" w:name="_Toc88218617"/>
      <w:r>
        <w:t xml:space="preserve">Figure </w:t>
      </w:r>
      <w:r>
        <w:fldChar w:fldCharType="begin"/>
      </w:r>
      <w:r>
        <w:instrText xml:space="preserve"> SEQ Figure \* ARABIC </w:instrText>
      </w:r>
      <w:r>
        <w:fldChar w:fldCharType="separate"/>
      </w:r>
      <w:r w:rsidR="00CD04FC">
        <w:t>24</w:t>
      </w:r>
      <w:r>
        <w:fldChar w:fldCharType="end"/>
      </w:r>
      <w:r>
        <w:t xml:space="preserve">: </w:t>
      </w:r>
      <w:bookmarkStart w:id="114" w:name="_Hlk86057589"/>
      <w:r>
        <w:t>MuRF-1 gene expression in VF</w:t>
      </w:r>
      <w:r w:rsidR="00DA41A3">
        <w:t>s</w:t>
      </w:r>
      <w:r>
        <w:t xml:space="preserve"> injected with dexamethasone, saline, and untreated controls</w:t>
      </w:r>
      <w:bookmarkEnd w:id="113"/>
      <w:bookmarkEnd w:id="114"/>
    </w:p>
    <w:p w14:paraId="10864CC7" w14:textId="73517E0A" w:rsidR="00A91937" w:rsidRDefault="00A91937">
      <w:pPr>
        <w:pStyle w:val="Heading3"/>
        <w:rPr>
          <w:noProof/>
        </w:rPr>
      </w:pPr>
      <w:bookmarkStart w:id="115" w:name="_Toc88218564"/>
      <w:r>
        <w:t>Atrogin-1 Gene Expression</w:t>
      </w:r>
      <w:bookmarkEnd w:id="115"/>
      <w:r>
        <w:t xml:space="preserve"> </w:t>
      </w:r>
    </w:p>
    <w:p w14:paraId="0CB7CD15" w14:textId="70A6FAB4" w:rsidR="00D81245" w:rsidRDefault="00D81245" w:rsidP="00D81245">
      <w:pPr>
        <w:rPr>
          <w:color w:val="000000" w:themeColor="text1"/>
        </w:rPr>
      </w:pPr>
      <w:r w:rsidRPr="00BC6BBD">
        <w:rPr>
          <w:color w:val="000000" w:themeColor="text1"/>
        </w:rPr>
        <w:t xml:space="preserve">A </w:t>
      </w:r>
      <w:r w:rsidRPr="00E57DCF">
        <w:rPr>
          <w:color w:val="000000" w:themeColor="text1"/>
        </w:rPr>
        <w:t>Kruskal-Wallis test</w:t>
      </w:r>
      <w:r w:rsidRPr="00BC6BBD">
        <w:rPr>
          <w:color w:val="000000" w:themeColor="text1"/>
        </w:rPr>
        <w:t xml:space="preserve"> revealed no significant </w:t>
      </w:r>
      <w:r>
        <w:rPr>
          <w:color w:val="000000" w:themeColor="text1"/>
        </w:rPr>
        <w:t>differences in atrogin-1 gene expression between experimental groups</w:t>
      </w:r>
      <w:r w:rsidR="00632044">
        <w:rPr>
          <w:color w:val="000000" w:themeColor="text1"/>
        </w:rPr>
        <w:t xml:space="preserve"> (Figure 25)</w:t>
      </w:r>
      <w:r>
        <w:rPr>
          <w:color w:val="000000" w:themeColor="text1"/>
        </w:rPr>
        <w:t>.</w:t>
      </w:r>
    </w:p>
    <w:p w14:paraId="321FD826" w14:textId="77777777" w:rsidR="00211D30" w:rsidRPr="00E57DCF" w:rsidRDefault="00211D30" w:rsidP="00D81245">
      <w:pPr>
        <w:rPr>
          <w:color w:val="000000" w:themeColor="text1"/>
        </w:rPr>
      </w:pPr>
    </w:p>
    <w:p w14:paraId="0A4221C2" w14:textId="77777777" w:rsidR="00C50B43" w:rsidRDefault="00211D30" w:rsidP="00C50B43">
      <w:pPr>
        <w:keepNext/>
        <w:jc w:val="center"/>
      </w:pPr>
      <w:r>
        <w:rPr>
          <w:noProof/>
        </w:rPr>
        <w:drawing>
          <wp:inline distT="0" distB="0" distL="0" distR="0" wp14:anchorId="2E3C671D" wp14:editId="01C10988">
            <wp:extent cx="4226169" cy="2873771"/>
            <wp:effectExtent l="0" t="0" r="3175" b="3175"/>
            <wp:docPr id="52" name="Picture 52" descr="Chart, scatter 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rt, scatter chart, box and whisker chart&#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30518" cy="2876728"/>
                    </a:xfrm>
                    <a:prstGeom prst="rect">
                      <a:avLst/>
                    </a:prstGeom>
                    <a:noFill/>
                    <a:ln>
                      <a:noFill/>
                    </a:ln>
                  </pic:spPr>
                </pic:pic>
              </a:graphicData>
            </a:graphic>
          </wp:inline>
        </w:drawing>
      </w:r>
    </w:p>
    <w:p w14:paraId="449C4017" w14:textId="2AE7AF41" w:rsidR="00D81245" w:rsidRPr="00D81245" w:rsidRDefault="00C50B43" w:rsidP="00C50B43">
      <w:pPr>
        <w:pStyle w:val="Caption"/>
      </w:pPr>
      <w:bookmarkStart w:id="116" w:name="_Toc88218618"/>
      <w:r>
        <w:t xml:space="preserve">Figure </w:t>
      </w:r>
      <w:r>
        <w:fldChar w:fldCharType="begin"/>
      </w:r>
      <w:r>
        <w:instrText xml:space="preserve"> SEQ Figure \* ARABIC </w:instrText>
      </w:r>
      <w:r>
        <w:fldChar w:fldCharType="separate"/>
      </w:r>
      <w:r w:rsidR="00CD04FC">
        <w:t>25</w:t>
      </w:r>
      <w:r>
        <w:fldChar w:fldCharType="end"/>
      </w:r>
      <w:r>
        <w:t xml:space="preserve">: </w:t>
      </w:r>
      <w:bookmarkStart w:id="117" w:name="_Hlk86057628"/>
      <w:r w:rsidR="00DA41A3">
        <w:t>Atrogin-1 gene expression in VFs injected with dexamethasone, saline, and untreated controls</w:t>
      </w:r>
      <w:bookmarkEnd w:id="116"/>
      <w:bookmarkEnd w:id="117"/>
    </w:p>
    <w:p w14:paraId="3D13F0FA" w14:textId="10386170" w:rsidR="00DA41A3" w:rsidRDefault="00FD2DAD" w:rsidP="00FD2DAD">
      <w:pPr>
        <w:pStyle w:val="Heading1"/>
      </w:pPr>
      <w:bookmarkStart w:id="118" w:name="_Toc88218565"/>
      <w:r>
        <w:t>Discussion</w:t>
      </w:r>
      <w:bookmarkEnd w:id="118"/>
    </w:p>
    <w:p w14:paraId="41B7630E" w14:textId="2BEE1A68" w:rsidR="008D32D8" w:rsidRDefault="008D32D8" w:rsidP="008D32D8">
      <w:pPr>
        <w:pStyle w:val="Heading2"/>
      </w:pPr>
      <w:bookmarkStart w:id="119" w:name="_Toc88218566"/>
      <w:r w:rsidRPr="008D32D8">
        <w:t>Localization of Integral Membrane Proteins in Human and Rabbit Vocal Folds</w:t>
      </w:r>
      <w:bookmarkEnd w:id="119"/>
      <w:r w:rsidRPr="008D32D8">
        <w:t xml:space="preserve"> </w:t>
      </w:r>
    </w:p>
    <w:p w14:paraId="44FF2479" w14:textId="0F8DED6A" w:rsidR="00C152EE" w:rsidRPr="005F0974" w:rsidRDefault="00C152EE" w:rsidP="00C152EE">
      <w:pPr>
        <w:pBdr>
          <w:top w:val="nil"/>
          <w:left w:val="nil"/>
          <w:bottom w:val="nil"/>
          <w:right w:val="nil"/>
          <w:between w:val="nil"/>
        </w:pBdr>
        <w:ind w:right="-14"/>
        <w:rPr>
          <w:rFonts w:cstheme="minorHAnsi"/>
        </w:rPr>
      </w:pPr>
      <w:r w:rsidRPr="005F0974">
        <w:rPr>
          <w:rFonts w:cstheme="minorHAnsi"/>
          <w:color w:val="000000"/>
        </w:rPr>
        <w:t xml:space="preserve">The use of </w:t>
      </w:r>
      <w:r w:rsidRPr="005F0974">
        <w:rPr>
          <w:rFonts w:cstheme="minorHAnsi"/>
        </w:rPr>
        <w:t>rabbits as a small animal model has gained increased attention in the voice literature due to its relative advantages to larger animals and as a reasonable alternative to smaller species, such as mice and rats. The localization of these proteins in the rabbit VF</w:t>
      </w:r>
      <w:r w:rsidR="00BF777D">
        <w:rPr>
          <w:rFonts w:cstheme="minorHAnsi"/>
        </w:rPr>
        <w:t>s</w:t>
      </w:r>
      <w:r w:rsidRPr="005F0974">
        <w:rPr>
          <w:rFonts w:cstheme="minorHAnsi"/>
        </w:rPr>
        <w:t xml:space="preserve"> provides an opportunity for further characterization in this species and similarities in localization of these critical membrane proteins relative to humans. The purpose of the present study was to identify and compare the localization of these integral membrane proteins between species to validate the suitability of the rabbit for future studies of VF tissue homeostasis and epithelial barrier integrity. </w:t>
      </w:r>
    </w:p>
    <w:p w14:paraId="0B270A08" w14:textId="6B6F8052" w:rsidR="00C152EE" w:rsidRPr="005F0974" w:rsidRDefault="00C152EE" w:rsidP="00C152EE">
      <w:pPr>
        <w:pBdr>
          <w:top w:val="nil"/>
          <w:left w:val="nil"/>
          <w:bottom w:val="nil"/>
          <w:right w:val="nil"/>
          <w:between w:val="nil"/>
        </w:pBdr>
        <w:ind w:right="-14"/>
        <w:rPr>
          <w:rFonts w:cstheme="minorHAnsi"/>
        </w:rPr>
      </w:pPr>
      <w:r w:rsidRPr="005F0974">
        <w:rPr>
          <w:rFonts w:cstheme="minorHAnsi"/>
        </w:rPr>
        <w:t>The integral membrane transport protein AQP1 was primarily localized</w:t>
      </w:r>
      <w:r w:rsidR="00261CD4">
        <w:rPr>
          <w:rFonts w:cstheme="minorHAnsi"/>
        </w:rPr>
        <w:t xml:space="preserve"> in the</w:t>
      </w:r>
      <w:r w:rsidRPr="005F0974">
        <w:rPr>
          <w:rFonts w:cstheme="minorHAnsi"/>
        </w:rPr>
        <w:t xml:space="preserve"> superficial LP in both human and rabbit </w:t>
      </w:r>
      <w:r w:rsidR="00BF777D">
        <w:rPr>
          <w:rFonts w:cstheme="minorHAnsi"/>
        </w:rPr>
        <w:t>VFs</w:t>
      </w:r>
      <w:r w:rsidRPr="005F0974">
        <w:rPr>
          <w:rFonts w:cstheme="minorHAnsi"/>
        </w:rPr>
        <w:t xml:space="preserve">, which is supported by findings of AQP1 in mouse </w:t>
      </w:r>
      <w:r w:rsidR="00BF777D">
        <w:rPr>
          <w:rFonts w:cstheme="minorHAnsi"/>
        </w:rPr>
        <w:t>VFs</w:t>
      </w:r>
      <w:r w:rsidRPr="005F0974">
        <w:rPr>
          <w:rFonts w:cstheme="minorHAnsi"/>
        </w:rPr>
        <w:t>.</w:t>
      </w:r>
      <w:r w:rsidRPr="005F0974">
        <w:rPr>
          <w:rFonts w:cstheme="minorHAnsi"/>
        </w:rPr>
        <w:fldChar w:fldCharType="begin"/>
      </w:r>
      <w:r w:rsidR="00DA7707">
        <w:rPr>
          <w:rFonts w:cstheme="minorHAnsi"/>
        </w:rPr>
        <w:instrText xml:space="preserve"> ADDIN ZOTERO_ITEM CSL_CITATION {"citationID":"ir6MOOPI","properties":{"formattedCitation":"\\super 224\\nosupersub{}","plainCitation":"224","noteIndex":0},"citationItems":[{"id":574,"uris":["http://zotero.org/users/6281125/items/6V94DL4J"],"uri":["http://zotero.org/users/6281125/items/6V94DL4J"],"itemData":{"id":574,"type":"article-journal","abstract":"CONCLUSION: Expression of aquaporins (AQPs) in the vocal folds and the parasympathetic regulation of AQPs in the laryngeal glands may be important for controlling laryngeal secretion and vocal fold hydration. These findings are thought to be an initial step towards understanding potential mechanisms of water flow through the vocal fold surface.$\\backslash$n$\\backslash$nOBJECTIVES: Lubrication of the vocal folds is important for phonation and laryngeal defense. However, the system of water transport in the laryngeal epithelium has not yet been clarified. We investigated the expression of AQP water channnels (AQP1-9) in the murine larynx and examined the neural regulating mechanisms of these subtypes.$\\backslash$n$\\backslash$nMETHODS: The distribution of AQPs (AQP1-9) in the murine larynx was examined by immunohistochemistry. Next, the neural mechanism regulating AQPs in the larynx was investigated using unilaterally vagotomized mice.$\\backslash$n$\\backslash$nRESULTS: AQP1, 4, and 5 were expressed in the laryngeal epithelium including the vocal folds. Vocal fold AQP expression was minimal at the vocal process. AQP2, 3, 5, 6, 7, and 8 were localized to the submucosal glands. Expression of AQPs in the vagotomized region was significantly decreased compared with the contralateral intact side. The expression in the laryngeal glands was also decreased in the aged mice.","container-title":"Acta Oto-Laryngologica","DOI":"10.3109/00016489.2011.644253","ISSN":"00016489","issue":"4","note":"PMID: 22235909","page":"439–446","title":"Localization and regulation of aquaporins in the murine larynx","volume":"132","author":[{"family":"Ahmed","given":"Mona El Rabie"},{"family":"Bando","given":"Hideki"},{"family":"Hirota","given":"Ryuichi"},{"family":"Sakaguchi","given":"Hirofumi"},{"family":"Koike","given":"Shinobu"},{"family":"El-Adawy","given":"Ahlam Abdel Salam Nabieh"},{"family":"Kotby","given":"Mohamed Nasser"},{"family":"Hisa","given":"Yasuo"}],"issued":{"date-parts":[["2012"]]}}}],"schema":"https://github.com/citation-style-language/schema/raw/master/csl-citation.json"} </w:instrText>
      </w:r>
      <w:r w:rsidRPr="005F0974">
        <w:rPr>
          <w:rFonts w:cstheme="minorHAnsi"/>
        </w:rPr>
        <w:fldChar w:fldCharType="separate"/>
      </w:r>
      <w:r w:rsidR="00DA7707" w:rsidRPr="00DA7707">
        <w:rPr>
          <w:rFonts w:ascii="Calibri" w:hAnsi="Calibri" w:cs="Calibri"/>
          <w:vertAlign w:val="superscript"/>
        </w:rPr>
        <w:t>224</w:t>
      </w:r>
      <w:r w:rsidRPr="005F0974">
        <w:rPr>
          <w:rFonts w:cstheme="minorHAnsi"/>
        </w:rPr>
        <w:fldChar w:fldCharType="end"/>
      </w:r>
      <w:r w:rsidRPr="005F0974">
        <w:rPr>
          <w:rFonts w:cstheme="minorHAnsi"/>
        </w:rPr>
        <w:t xml:space="preserve"> Aquaporin 1 may serve an important role in </w:t>
      </w:r>
      <w:r w:rsidR="000F22FE">
        <w:rPr>
          <w:rFonts w:cstheme="minorHAnsi"/>
        </w:rPr>
        <w:t xml:space="preserve">the </w:t>
      </w:r>
      <w:r w:rsidRPr="005F0974">
        <w:rPr>
          <w:rFonts w:cstheme="minorHAnsi"/>
        </w:rPr>
        <w:t>vascular permeability of the VF LP. In corneal and respiratory tissue in mice, the deletion of this gene reduces fluid production in the eyes</w:t>
      </w:r>
      <w:r w:rsidRPr="005F0974">
        <w:rPr>
          <w:rFonts w:cstheme="minorHAnsi"/>
        </w:rPr>
        <w:fldChar w:fldCharType="begin"/>
      </w:r>
      <w:r w:rsidR="00DA7707">
        <w:rPr>
          <w:rFonts w:cstheme="minorHAnsi"/>
        </w:rPr>
        <w:instrText xml:space="preserve"> ADDIN ZOTERO_ITEM CSL_CITATION {"citationID":"H9xLHaOw","properties":{"formattedCitation":"\\super 225\\nosupersub{}","plainCitation":"225","noteIndex":0},"citationItems":[{"id":311,"uris":["http://zotero.org/users/6281125/items/AYUFW9AD"],"uri":["http://zotero.org/users/6281125/items/AYUFW9AD"],"itemData":{"id":311,"type":"article-journal","abstract":"Aquaporin (AQP) water channels are expressed in the eye at sites of aqueous fluid production and outflow: AQP1 and AQP4 in nonpigmented ciliary epithelium, and AQP1 in trabecular meshwork endothelium. Novel methods were developed to compare aqueous fluid dynamics in wild-type mice versus mice lacking AQP1 and/or AQP4. Aqueous fluid production was measured by in vivo confocal microscopy after transcorneal ionto-phoretic introduction of fluorescein. Intraocular pressure (IOP), outflow, and anterior chamber compliance were determined from pressure measurements in response to fluid infusions using micropipettes. Aqueous fluid volume and [Cl ] were assayed in samples withdrawn by micropipettes. In wild-type mice (CD1 genetic background, age 4-6 wk), IOP was 16.0 0.4 mmHg (SE), aqueous fluid volume 7.2 0.3 l, fluid production 3.6 0.2 l/h, fluid outflow 0.36 0.06 l/h/mmHg, and compliance 0.036 0.006 l/mmHg. IOP was significantly decreased by up to 1.8 mmHg (P 0.002) and fluid production by up to 0.9 l/h in age/litter-matched mice lacking AQP1 and/or AQP4 (outbred CD1 and inbred C57/bl6 genetic backgrounds). However, AQP deletion did not significantly affect outflow, [Cl ], volume, or compliance. These results provide evidence for the involvement of AQPs in intraocular pressure regulation by facilitating aqueous fluid secretion across the ciliary epithelium. AQP inhibition may thus provide a novel approach for the treatment of elevated IOP. key words: water transport • AQP1 • AQP4 • anterior chamber • transgenic mice","container-title":"J. Gen. Physiol","DOI":"10.1085/jgp.20028597","issue":"6","page":"561-569","title":"Aquaporin deletion in mice reduces intraocular pressure and aqueous fluid production","volume":"119","author":[{"family":"Zhang","given":"Duo"},{"family":"Vetrivel","given":"L"},{"family":"Verkman","given":"A S"}],"issued":{"date-parts":[["2002"]]}}}],"schema":"https://github.com/citation-style-language/schema/raw/master/csl-citation.json"} </w:instrText>
      </w:r>
      <w:r w:rsidRPr="005F0974">
        <w:rPr>
          <w:rFonts w:cstheme="minorHAnsi"/>
        </w:rPr>
        <w:fldChar w:fldCharType="separate"/>
      </w:r>
      <w:r w:rsidR="00DA7707" w:rsidRPr="00DA7707">
        <w:rPr>
          <w:rFonts w:ascii="Calibri" w:hAnsi="Calibri" w:cs="Calibri"/>
          <w:vertAlign w:val="superscript"/>
        </w:rPr>
        <w:t>225</w:t>
      </w:r>
      <w:r w:rsidRPr="005F0974">
        <w:rPr>
          <w:rFonts w:cstheme="minorHAnsi"/>
        </w:rPr>
        <w:fldChar w:fldCharType="end"/>
      </w:r>
      <w:r w:rsidRPr="005F0974">
        <w:rPr>
          <w:rFonts w:cstheme="minorHAnsi"/>
        </w:rPr>
        <w:t xml:space="preserve"> and fluid movement across the endothelium that lines blood vessels in the lungs.</w:t>
      </w:r>
      <w:r w:rsidRPr="005F0974">
        <w:rPr>
          <w:rFonts w:cstheme="minorHAnsi"/>
        </w:rPr>
        <w:fldChar w:fldCharType="begin"/>
      </w:r>
      <w:r w:rsidR="00DA7707">
        <w:rPr>
          <w:rFonts w:cstheme="minorHAnsi"/>
        </w:rPr>
        <w:instrText xml:space="preserve"> ADDIN ZOTERO_ITEM CSL_CITATION {"citationID":"cdoDJyw9","properties":{"formattedCitation":"\\super 226\\nosupersub{}","plainCitation":"226","noteIndex":0},"citationItems":[{"id":352,"uris":["http://zotero.org/users/6281125/items/CDF3BH77"],"uri":["http://zotero.org/users/6281125/items/CDF3BH77"],"itemData":{"id":352,"type":"article-journal","abstract":"The mammalian lung expresses water channel aquaporin-1 (AQP1) in microvascular endothelia and aquaporin-4 (AQP4) in airway epithelia. To test whether these water channels facilitate fluid movement between airspace, interstitial, and capillary compartments, we measured passive and active fluid transport in AQP1 and AQP4 knockout mice. Airspace-capillary osmotic water permeability (P f) was measured in isolated perfused lungs by a pleural surface fluorescence method. P f was remarkably reduced in AQP1 (-/-) mice (measured in cm/s × 0.001, SE, n = 5-10: 17 ± 2 [+/+]; 6.6 ± 0.6 AQP1 [+/-]; 1.7 ± 0.3 AQP1 [-/-]; 12 ± 1 AQP4 [-/-]). Microvascular endothelial water permeability, measured by a related pleural surface fluorescence method in which the airspace was filled with inert perfluorocarbon, was reduced more than 10-fold in AQP1 (-/-) vs. (+/+) mice. Hydrostatically induced lung interstitial and alveolar edema was measured by a gravimetric method and by direct measurement of extravascular lung water. Both approaches indicated a more than twofold reduction in lung water accumulation in AQP1 (-/-) vs. (+/+) mice in response to a 5-to 10-cm H 2 O increase in pulmonary artery pressure for five minutes. Active, near-isosmolar alveolar fluid absorption (J v) was measured in in situ perfused lungs using 125 I-albumin as an airspace fluid volume marker. J v (measured in percent fluid uptake at 30 min, n = 5) in (+/+) [\\ldots] Article Find the latest version:","container-title":"J Clin Invest","DOI":"10.1172/JCI4138","issue":"4","page":"555","title":"Lung fluid transport in aquaporin-1 and aquaporin-4 knockout mice","volume":"103","author":[{"family":"Bai","given":"Chunxue"},{"family":"Matthay","given":"Michael A"},{"family":"Verkman","given":"A S"}],"issued":{"date-parts":[["1999"]]}}}],"schema":"https://github.com/citation-style-language/schema/raw/master/csl-citation.json"} </w:instrText>
      </w:r>
      <w:r w:rsidRPr="005F0974">
        <w:rPr>
          <w:rFonts w:cstheme="minorHAnsi"/>
        </w:rPr>
        <w:fldChar w:fldCharType="separate"/>
      </w:r>
      <w:r w:rsidR="00DA7707" w:rsidRPr="00DA7707">
        <w:rPr>
          <w:rFonts w:ascii="Calibri" w:hAnsi="Calibri" w:cs="Calibri"/>
          <w:vertAlign w:val="superscript"/>
        </w:rPr>
        <w:t>226</w:t>
      </w:r>
      <w:r w:rsidRPr="005F0974">
        <w:rPr>
          <w:rFonts w:cstheme="minorHAnsi"/>
        </w:rPr>
        <w:fldChar w:fldCharType="end"/>
      </w:r>
      <w:r w:rsidRPr="005F0974">
        <w:rPr>
          <w:rFonts w:cstheme="minorHAnsi"/>
        </w:rPr>
        <w:t xml:space="preserve"> Furthermore,  studies in pulmonary tissue revealed that humans expressing the AQP1 gene demonstrate an increase in airway wall thickness, following </w:t>
      </w:r>
      <w:r w:rsidR="00C872A8">
        <w:rPr>
          <w:rFonts w:cstheme="minorHAnsi"/>
        </w:rPr>
        <w:t>IV</w:t>
      </w:r>
      <w:r w:rsidRPr="005F0974">
        <w:rPr>
          <w:rFonts w:cstheme="minorHAnsi"/>
        </w:rPr>
        <w:t xml:space="preserve"> injection of saline, compared to humans deficient in AQP1.</w:t>
      </w:r>
      <w:r w:rsidRPr="005F0974">
        <w:rPr>
          <w:rFonts w:cstheme="minorHAnsi"/>
        </w:rPr>
        <w:fldChar w:fldCharType="begin" w:fldLock="1"/>
      </w:r>
      <w:r w:rsidR="00DA7707">
        <w:rPr>
          <w:rFonts w:cstheme="minorHAnsi"/>
        </w:rPr>
        <w:instrText xml:space="preserve"> ADDIN ZOTERO_ITEM CSL_CITATION {"citationID":"VAAy8VyJ","properties":{"formattedCitation":"\\super 227\\nosupersub{}","plainCitation":"227","noteIndex":0},"citationItems":[{"id":346,"uris":["http://zotero.org/users/6281125/items/WBPYN2EP"],"uri":["http://zotero.org/users/6281125/items/WBPYN2EP"],"itemData":{"id":346,"type":"article-journal","abstract":"The molecular determinants of water permeability in the human lung are incompletely defined. Aquaporins (AQP) are water-specific membrane channel proteins. AQP1 is present in endothelial cells in the lung, including those in the vascular plexus around the airways. Rare individuals have been identified who are deficient in AQP1. High-resolution computed tomography scans of the lung were used to evaluate the response to i.v. fluid challenge in two unrelated AQP1-null individuals and five normal controls. The airways and pulmonary vessels were measured at baseline and after i.v. administration of 3 liters of saline. Increases in airway wall thickness after fluid administration reflect peribronchiolar edema formation. Both control and AQP1 null subjects had approximately a 20% increase in pulmonary vessel area in response to saline infusion, suggesting similar degrees of volume loading. Control subjects had a 44% increase in the thickness of the airway wall, consistent with peribronchiolar edema formation. In marked contrast , airway wall thickness did not change in AQP1-null subjects in response to saline infusion. These studies indicate that AQP1 is a determinant of vascular permeability in the lung, and demonstrate a role for aquaporins in human pulmonary physiology.","container-title":"Proceedings of the National Academy of Sciences","issue":"2","page":"1059-1063","title":"Decreased pulmonary vascular permeability in aquaporin-1-null humans","volume":"99","author":[{"family":"King","given":"Landon S"},{"family":"Nielsen","given":"Søren"},{"family":"Agre","given":"Peter"},{"family":"Brown","given":"Robert H"}],"issued":{"date-parts":[["2002"]]}}}],"schema":"https://github.com/citation-style-language/schema/raw/master/csl-citation.json"} </w:instrText>
      </w:r>
      <w:r w:rsidRPr="005F0974">
        <w:rPr>
          <w:rFonts w:cstheme="minorHAnsi"/>
        </w:rPr>
        <w:fldChar w:fldCharType="separate"/>
      </w:r>
      <w:r w:rsidR="00DA7707" w:rsidRPr="00DA7707">
        <w:rPr>
          <w:rFonts w:ascii="Calibri" w:hAnsi="Calibri" w:cs="Calibri"/>
          <w:vertAlign w:val="superscript"/>
        </w:rPr>
        <w:t>227</w:t>
      </w:r>
      <w:r w:rsidRPr="005F0974">
        <w:rPr>
          <w:rFonts w:cstheme="minorHAnsi"/>
        </w:rPr>
        <w:fldChar w:fldCharType="end"/>
      </w:r>
      <w:r w:rsidRPr="005F0974">
        <w:rPr>
          <w:rFonts w:cstheme="minorHAnsi"/>
        </w:rPr>
        <w:t xml:space="preserve"> This increase was not a result of vascular distention, suggesting that AQP1 may be involved in promoting vascular permeability. Blood vessel permeability enables the flow of small molecules such as drugs, nutrients, and water, and is critically important during the inflammatory and wound healing process. </w:t>
      </w:r>
    </w:p>
    <w:p w14:paraId="73B880BD" w14:textId="106A9280" w:rsidR="00C152EE" w:rsidRPr="005F0974" w:rsidRDefault="00C152EE" w:rsidP="00C152EE">
      <w:pPr>
        <w:pBdr>
          <w:top w:val="nil"/>
          <w:left w:val="nil"/>
          <w:bottom w:val="nil"/>
          <w:right w:val="nil"/>
          <w:between w:val="nil"/>
        </w:pBdr>
        <w:ind w:right="-14"/>
        <w:rPr>
          <w:rFonts w:cstheme="minorHAnsi"/>
        </w:rPr>
      </w:pPr>
      <w:r w:rsidRPr="005F0974">
        <w:rPr>
          <w:rFonts w:cstheme="minorHAnsi"/>
        </w:rPr>
        <w:t xml:space="preserve">Between species, the localization of AQP4 was most comparable in the VF epithelium, which is also supported by findings in mouse </w:t>
      </w:r>
      <w:r w:rsidR="00C872A8">
        <w:rPr>
          <w:rFonts w:cstheme="minorHAnsi"/>
        </w:rPr>
        <w:t>VFs</w:t>
      </w:r>
      <w:r w:rsidRPr="005F0974">
        <w:rPr>
          <w:rFonts w:cstheme="minorHAnsi"/>
        </w:rPr>
        <w:fldChar w:fldCharType="begin"/>
      </w:r>
      <w:r w:rsidR="00DA7707">
        <w:rPr>
          <w:rFonts w:cstheme="minorHAnsi"/>
        </w:rPr>
        <w:instrText xml:space="preserve"> ADDIN ZOTERO_ITEM CSL_CITATION {"citationID":"M1i29GDg","properties":{"formattedCitation":"\\super 224\\nosupersub{}","plainCitation":"224","noteIndex":0},"citationItems":[{"id":574,"uris":["http://zotero.org/users/6281125/items/6V94DL4J"],"uri":["http://zotero.org/users/6281125/items/6V94DL4J"],"itemData":{"id":574,"type":"article-journal","abstract":"CONCLUSION: Expression of aquaporins (AQPs) in the vocal folds and the parasympathetic regulation of AQPs in the laryngeal glands may be important for controlling laryngeal secretion and vocal fold hydration. These findings are thought to be an initial step towards understanding potential mechanisms of water flow through the vocal fold surface.$\\backslash$n$\\backslash$nOBJECTIVES: Lubrication of the vocal folds is important for phonation and laryngeal defense. However, the system of water transport in the laryngeal epithelium has not yet been clarified. We investigated the expression of AQP water channnels (AQP1-9) in the murine larynx and examined the neural regulating mechanisms of these subtypes.$\\backslash$n$\\backslash$nMETHODS: The distribution of AQPs (AQP1-9) in the murine larynx was examined by immunohistochemistry. Next, the neural mechanism regulating AQPs in the larynx was investigated using unilaterally vagotomized mice.$\\backslash$n$\\backslash$nRESULTS: AQP1, 4, and 5 were expressed in the laryngeal epithelium including the vocal folds. Vocal fold AQP expression was minimal at the vocal process. AQP2, 3, 5, 6, 7, and 8 were localized to the submucosal glands. Expression of AQPs in the vagotomized region was significantly decreased compared with the contralateral intact side. The expression in the laryngeal glands was also decreased in the aged mice.","container-title":"Acta Oto-Laryngologica","DOI":"10.3109/00016489.2011.644253","ISSN":"00016489","issue":"4","note":"PMID: 22235909","page":"439–446","title":"Localization and regulation of aquaporins in the murine larynx","volume":"132","author":[{"family":"Ahmed","given":"Mona El Rabie"},{"family":"Bando","given":"Hideki"},{"family":"Hirota","given":"Ryuichi"},{"family":"Sakaguchi","given":"Hirofumi"},{"family":"Koike","given":"Shinobu"},{"family":"El-Adawy","given":"Ahlam Abdel Salam Nabieh"},{"family":"Kotby","given":"Mohamed Nasser"},{"family":"Hisa","given":"Yasuo"}],"issued":{"date-parts":[["2012"]]}}}],"schema":"https://github.com/citation-style-language/schema/raw/master/csl-citation.json"} </w:instrText>
      </w:r>
      <w:r w:rsidRPr="005F0974">
        <w:rPr>
          <w:rFonts w:cstheme="minorHAnsi"/>
        </w:rPr>
        <w:fldChar w:fldCharType="separate"/>
      </w:r>
      <w:r w:rsidR="00DA7707" w:rsidRPr="00DA7707">
        <w:rPr>
          <w:rFonts w:ascii="Calibri" w:hAnsi="Calibri" w:cs="Calibri"/>
          <w:vertAlign w:val="superscript"/>
        </w:rPr>
        <w:t>224</w:t>
      </w:r>
      <w:r w:rsidRPr="005F0974">
        <w:rPr>
          <w:rFonts w:cstheme="minorHAnsi"/>
        </w:rPr>
        <w:fldChar w:fldCharType="end"/>
      </w:r>
      <w:r w:rsidRPr="005F0974">
        <w:rPr>
          <w:rFonts w:cstheme="minorHAnsi"/>
        </w:rPr>
        <w:t xml:space="preserve"> and studies in </w:t>
      </w:r>
      <w:r w:rsidR="000F22FE">
        <w:rPr>
          <w:rFonts w:cstheme="minorHAnsi"/>
        </w:rPr>
        <w:t xml:space="preserve">the </w:t>
      </w:r>
      <w:r w:rsidRPr="005F0974">
        <w:rPr>
          <w:rFonts w:cstheme="minorHAnsi"/>
        </w:rPr>
        <w:t>airway epithelium of rats.</w:t>
      </w:r>
      <w:r w:rsidRPr="005F0974">
        <w:rPr>
          <w:rFonts w:cstheme="minorHAnsi"/>
        </w:rPr>
        <w:fldChar w:fldCharType="begin"/>
      </w:r>
      <w:r w:rsidR="00DA7707">
        <w:rPr>
          <w:rFonts w:cstheme="minorHAnsi"/>
        </w:rPr>
        <w:instrText xml:space="preserve"> ADDIN ZOTERO_ITEM CSL_CITATION {"citationID":"YkagF63c","properties":{"formattedCitation":"\\super 228\\nosupersub{}","plainCitation":"228","noteIndex":0},"citationItems":[{"id":2006,"uris":["http://zotero.org/users/6281125/items/79MK3HQB"],"uri":["http://zotero.org/users/6281125/items/79MK3HQB"],"itemData":{"id":2006,"type":"article-journal","abstract":"The molecular pathways for fluid transport in pulmonary, oral, and nasal tissues are still unresolved. Here we use immunocytochemistry and immunoelectron microscopy to define the sites of expression of four aquaporins in the respiratory tract and glandular epithelia, where they reside in distinct, nonoverlapping sites. Aquaporin-1 (AQP1) is present in apical and basolateral membranes of bronchial, tracheal, and nasopharyngeal vascular endothelium and fibroblasts. AQP5 is localized to the apical plasma membrane of type I pneumocytes and the apical plasma membranes of secretory epithelium in upper airway and salivary glands. In contrast, AQP3 is present in basal cells of tracheal and nasopharyngeal epithelium and is abundant in basolateral membranes of surface epithelial cells of nasal conchus. AQP4 resides in basolateral membranes of columnar cells of bronchial, tracheal, and nasopharyngeal epithelium; in nasal conchus AQP4 is restricted to basolateral membranes of a subset of intra- and subepithelial glands. These sites of expression suggest that transalveolar water movement, modulation of airway surface liquid, air humidification, and generation of nasopharyngeal secretions involve a coordinated network of aquaporin water channels.","container-title":"American Journal of Physiology-Cell Physiology","DOI":"10.1152/ajpcell.1997.273.5.C1549","ISSN":"0363-6143, 1522-1563","issue":"5","journalAbbreviation":"American Journal of Physiology-Cell Physiology","language":"en","page":"C1549-C1561","source":"DOI.org (Crossref)","title":"Aquaporins in complex tissues. II. Subcellular distribution in respiratory and glandular tissues of rat","volume":"273","author":[{"family":"Nielsen","given":"Søren"},{"family":"King","given":"Landon S."},{"family":"Christensen","given":"Birgitte Mønster"},{"family":"Agre","given":"Peter"}],"issued":{"date-parts":[["1997",11,1]]}}}],"schema":"https://github.com/citation-style-language/schema/raw/master/csl-citation.json"} </w:instrText>
      </w:r>
      <w:r w:rsidRPr="005F0974">
        <w:rPr>
          <w:rFonts w:cstheme="minorHAnsi"/>
        </w:rPr>
        <w:fldChar w:fldCharType="separate"/>
      </w:r>
      <w:r w:rsidR="00DA7707" w:rsidRPr="00DA7707">
        <w:rPr>
          <w:rFonts w:ascii="Calibri" w:hAnsi="Calibri" w:cs="Calibri"/>
          <w:vertAlign w:val="superscript"/>
        </w:rPr>
        <w:t>228</w:t>
      </w:r>
      <w:r w:rsidRPr="005F0974">
        <w:rPr>
          <w:rFonts w:cstheme="minorHAnsi"/>
        </w:rPr>
        <w:fldChar w:fldCharType="end"/>
      </w:r>
      <w:r w:rsidRPr="005F0974">
        <w:rPr>
          <w:rFonts w:cstheme="minorHAnsi"/>
        </w:rPr>
        <w:t xml:space="preserve"> Although </w:t>
      </w:r>
      <w:r w:rsidR="000F22FE">
        <w:rPr>
          <w:rFonts w:cstheme="minorHAnsi"/>
        </w:rPr>
        <w:t>few studies</w:t>
      </w:r>
      <w:r w:rsidRPr="005F0974">
        <w:rPr>
          <w:rFonts w:cstheme="minorHAnsi"/>
        </w:rPr>
        <w:t xml:space="preserve"> claim</w:t>
      </w:r>
      <w:r w:rsidR="000F22FE">
        <w:rPr>
          <w:rFonts w:cstheme="minorHAnsi"/>
        </w:rPr>
        <w:t xml:space="preserve"> </w:t>
      </w:r>
      <w:r w:rsidRPr="005F0974">
        <w:rPr>
          <w:rFonts w:cstheme="minorHAnsi"/>
        </w:rPr>
        <w:t>a minimal role of AQP4 in transepithelial water transport in airway tissue,</w:t>
      </w:r>
      <w:r w:rsidRPr="005F0974">
        <w:rPr>
          <w:rFonts w:cstheme="minorHAnsi"/>
        </w:rPr>
        <w:fldChar w:fldCharType="begin"/>
      </w:r>
      <w:r w:rsidR="00DA7707">
        <w:rPr>
          <w:rFonts w:cstheme="minorHAnsi"/>
        </w:rPr>
        <w:instrText xml:space="preserve"> ADDIN ZOTERO_ITEM CSL_CITATION {"citationID":"VXUsKf3Z","properties":{"formattedCitation":"\\super 226,229\\nosupersub{}","plainCitation":"226,229","noteIndex":0},"citationItems":[{"id":352,"uris":["http://zotero.org/users/6281125/items/CDF3BH77"],"uri":["http://zotero.org/users/6281125/items/CDF3BH77"],"itemData":{"id":352,"type":"article-journal","abstract":"The mammalian lung expresses water channel aquaporin-1 (AQP1) in microvascular endothelia and aquaporin-4 (AQP4) in airway epithelia. To test whether these water channels facilitate fluid movement between airspace, interstitial, and capillary compartments, we measured passive and active fluid transport in AQP1 and AQP4 knockout mice. Airspace-capillary osmotic water permeability (P f) was measured in isolated perfused lungs by a pleural surface fluorescence method. P f was remarkably reduced in AQP1 (-/-) mice (measured in cm/s × 0.001, SE, n = 5-10: 17 ± 2 [+/+]; 6.6 ± 0.6 AQP1 [+/-]; 1.7 ± 0.3 AQP1 [-/-]; 12 ± 1 AQP4 [-/-]). Microvascular endothelial water permeability, measured by a related pleural surface fluorescence method in which the airspace was filled with inert perfluorocarbon, was reduced more than 10-fold in AQP1 (-/-) vs. (+/+) mice. Hydrostatically induced lung interstitial and alveolar edema was measured by a gravimetric method and by direct measurement of extravascular lung water. Both approaches indicated a more than twofold reduction in lung water accumulation in AQP1 (-/-) vs. (+/+) mice in response to a 5-to 10-cm H 2 O increase in pulmonary artery pressure for five minutes. Active, near-isosmolar alveolar fluid absorption (J v) was measured in in situ perfused lungs using 125 I-albumin as an airspace fluid volume marker. J v (measured in percent fluid uptake at 30 min, n = 5) in (+/+) [\\ldots] Article Find the latest version:","container-title":"J Clin Invest","DOI":"10.1172/JCI4138","issue":"4","page":"555","title":"Lung fluid transport in aquaporin-1 and aquaporin-4 knockout mice","volume":"103","author":[{"family":"Bai","given":"Chunxue"},{"family":"Matthay","given":"Michael A"},{"family":"Verkman","given":"A S"}],"issued":{"date-parts":[["1999"]]}}},{"id":2011,"uris":["http://zotero.org/users/6281125/items/CLNX8YNM"],"uri":["http://zotero.org/users/6281125/items/CLNX8YNM"],"itemData":{"id":2011,"type":"article-journal","abstract":"The mammalian peripheral lung contains at least three aquaporin (AQP) water channels: AQP1 in microvascular endothelia, AQP4 in airway epithelia, and AQP5 in alveolar epithelia. In this study, we determined the role of AQP4 in airspace-to-capillary water transport by comparing water permeability in wild-type mice and transgenic null mice lacking AQP1, AQP4, or AQP1/AQP4 together. An apparatus was constructed to measure lung weight continuously during pulmonary artery perfusion of isolated mouse lungs. Osmotically induced water flux (Jv) between the airspace and capillary compartments was measured from the kinetics of lung weight change in saline-filled lungs in response to changes in perfusate osmolality. Jv in wild-type mice varied linearly with osmotic gradient size (4.4 × 10−5 cm3 s−1 mOsm−1) and was symmetric, independent of perfusate osmolyte size, weakly temperature dependent, and decreased 11-fold by AQP1 deletion. Transcapillary osmotic water permeability was greatly reduced by AQP1 deletion, as measured by the same method except that the airspace saline was replaced by an inert perfluorocarbon. Hydrostatically induced lung edema was characterized by lung weight changes in response to changes in pulmonary arterial inflow or pulmonary venous outflow pressure. At 5 cm H2O outflow pressure, the filtration coefficient was 4.7 cm3 s−1 mOsm−1 and reduced 1.4-fold by AQP1 deletion. To study the role of AQP4 in lung water transport, AQP1/AQP4 double knockout mice were generated by crossbreeding of AQP1 and AQP4 null mice. Jv were (cm3 s−1 mOsm−1 × 10−5, SEM, n = 7–12 mice): 3.8 ± 0.4 (wild type), 0.35 ± 0.02 (AQP1 null), 3.7 ± 0.4 (AQP4 null), and 0.25 ± 0.01 (AQP1/AQP4 null). The significant reduction in Pf in AQP1 vs. AQP1/AQP4 null mice was confirmed by an independent pleural surface fluorescence method showing a 1.6 ± 0.2-fold (SEM, five mice) reduced Pf in the AQP1/AQP4 double knockout mice vs. AQP1 null mice. These results establish a simple gravimetric method to quantify osmosis and filtration in intact mouse lung and provide direct evidence for a contribution of the distal airways to airspace-to-capillary water transport.","container-title":"Journal of General Physiology","DOI":"10.1085/jgp.115.1.17","ISSN":"0022-1295, 1540-7748","issue":"1","language":"en","page":"17-27","source":"DOI.org (Crossref)","title":"Role of Aquaporin-4 in Airspace-to-Capillary Water Permeability in Intact Mouse Lung Measured by a Novel Gravimetric Method","volume":"115","author":[{"family":"Song","given":"Yuanlin"},{"family":"Ma","given":"Tonghui"},{"family":"Matthay","given":"Michael A."},{"family":"Verkman","given":"A.S."}],"issued":{"date-parts":[["2000",1,1]]}}}],"schema":"https://github.com/citation-style-language/schema/raw/master/csl-citation.json"} </w:instrText>
      </w:r>
      <w:r w:rsidRPr="005F0974">
        <w:rPr>
          <w:rFonts w:cstheme="minorHAnsi"/>
        </w:rPr>
        <w:fldChar w:fldCharType="separate"/>
      </w:r>
      <w:r w:rsidR="00DA7707" w:rsidRPr="00DA7707">
        <w:rPr>
          <w:rFonts w:ascii="Calibri" w:hAnsi="Calibri" w:cs="Calibri"/>
          <w:vertAlign w:val="superscript"/>
        </w:rPr>
        <w:t>226,229</w:t>
      </w:r>
      <w:r w:rsidRPr="005F0974">
        <w:rPr>
          <w:rFonts w:cstheme="minorHAnsi"/>
        </w:rPr>
        <w:fldChar w:fldCharType="end"/>
      </w:r>
      <w:r w:rsidRPr="005F0974">
        <w:rPr>
          <w:rFonts w:cstheme="minorHAnsi"/>
        </w:rPr>
        <w:t xml:space="preserve"> AQP4 is believed to contribute to neural signaling</w:t>
      </w:r>
      <w:r w:rsidRPr="005F0974">
        <w:rPr>
          <w:rFonts w:cstheme="minorHAnsi"/>
        </w:rPr>
        <w:fldChar w:fldCharType="begin"/>
      </w:r>
      <w:r w:rsidR="00DA7707">
        <w:rPr>
          <w:rFonts w:cstheme="minorHAnsi"/>
        </w:rPr>
        <w:instrText xml:space="preserve"> ADDIN ZOTERO_ITEM CSL_CITATION {"citationID":"j1MYxBB4","properties":{"formattedCitation":"\\super 230\\nosupersub{}","plainCitation":"230","noteIndex":0},"citationItems":[{"id":2018,"uris":["http://zotero.org/users/6281125/items/3XCUISLC"],"uri":["http://zotero.org/users/6281125/items/3XCUISLC"],"itemData":{"id":2018,"type":"article-journal","abstract":"Mice deficient in the glial water channel aquaporin-4 (AQP4) show decreased cerebral edema and improved neurological outcome following water intoxication or ischemic challenge. In this report, we tested seizure susceptibility in AQP4−/− mice. AQP4−/− mice and wild-type controls were given the chemoconvulsant pentylenetetrazol (PTZ) and monitored for seizure activity. At 40 mg/kg PTZ, all wild-type mice exhibited seizure activity, whereas six of seven AQP4−/− mice did not exhibit seizure activity. At 50 mg/kg PTZ, both groups exhibited seizure activity; however, the latency to generalized (tonic-clonic) seizures was significantly lower in wild-type than AQP4−/− mice. These results suggest that glial water channels may modulate brain excitability and the initiation and generalization of seizure activity.","container-title":"NeuroReport","ISSN":"0959-4965","issue":"2","language":"en-US","page":"259–262","source":"journals.lww.com","title":"Increased seizure threshold in mice lacking aquaporin-4 water channels","volume":"15","author":[{"family":"Binder","given":"Devin K."},{"family":"Oshio","given":"Kotaro"},{"family":"Ma","given":"Tonghui"},{"family":"Verkman","given":"A. S."},{"family":"Manley","given":"Geoffrey T."}],"issued":{"date-parts":[["2004",2,9]]}}}],"schema":"https://github.com/citation-style-language/schema/raw/master/csl-citation.json"} </w:instrText>
      </w:r>
      <w:r w:rsidRPr="005F0974">
        <w:rPr>
          <w:rFonts w:cstheme="minorHAnsi"/>
        </w:rPr>
        <w:fldChar w:fldCharType="separate"/>
      </w:r>
      <w:r w:rsidR="00DA7707" w:rsidRPr="00DA7707">
        <w:rPr>
          <w:rFonts w:ascii="Calibri" w:hAnsi="Calibri" w:cs="Calibri"/>
          <w:vertAlign w:val="superscript"/>
        </w:rPr>
        <w:t>230</w:t>
      </w:r>
      <w:r w:rsidRPr="005F0974">
        <w:rPr>
          <w:rFonts w:cstheme="minorHAnsi"/>
        </w:rPr>
        <w:fldChar w:fldCharType="end"/>
      </w:r>
      <w:r w:rsidRPr="005F0974">
        <w:rPr>
          <w:rFonts w:cstheme="minorHAnsi"/>
        </w:rPr>
        <w:t xml:space="preserve"> and cell migration</w:t>
      </w:r>
      <w:r w:rsidRPr="005F0974">
        <w:rPr>
          <w:rFonts w:cstheme="minorHAnsi"/>
        </w:rPr>
        <w:fldChar w:fldCharType="begin"/>
      </w:r>
      <w:r w:rsidR="00DA7707">
        <w:rPr>
          <w:rFonts w:cstheme="minorHAnsi"/>
        </w:rPr>
        <w:instrText xml:space="preserve"> ADDIN ZOTERO_ITEM CSL_CITATION {"citationID":"13x0A4In","properties":{"formattedCitation":"\\super 231\\nosupersub{}","plainCitation":"231","noteIndex":0},"citationItems":[{"id":2012,"uris":["http://zotero.org/users/6281125/items/YWRYVSKN"],"uri":["http://zotero.org/users/6281125/items/YWRYVSKN"],"itemData":{"id":2012,"type":"article-journal","abstract":"Skip to Next Section\nAquaporin-4, the major water-selective channel in astroglia throughout the central nervous system, facilitates water movement into and out of the brain. Here, we identify a novel role for aquaporin-4 in astroglial cell migration, as occurs during glial scar formation. Astroglia cultured from the neocortex of aquaporin-4-null mice had similar morphology, proliferation and adhesion, but markedly impaired migration determined by Transwell migration efficiency (18±2 vs 58±4% of cells migrated towards 10% serum in 8 hours; P&lt;0.001) and wound healing rate (4.6 vs 7.0 μm/hour speed of wound edge; P&lt;0.001) compared with wild-type mice. Transwell migration was similarly impaired (25±4% migrated cells) in wild-type astroglia after </w:instrText>
      </w:r>
      <w:r w:rsidR="00DA7707">
        <w:rPr>
          <w:rFonts w:ascii="Cambria Math" w:hAnsi="Cambria Math" w:cs="Cambria Math"/>
        </w:rPr>
        <w:instrText>∼</w:instrText>
      </w:r>
      <w:r w:rsidR="00DA7707">
        <w:rPr>
          <w:rFonts w:cstheme="minorHAnsi"/>
        </w:rPr>
        <w:instrText xml:space="preserve">90% reduction in aquaporin-4 protein expression by RNA inhibition. Aquaporin-4 was polarized to the leading edge of the plasma membrane in migrating wild-type astroglia, where rapid shape changes were seen by video microscopy. Astroglial cell migration was enhanced by a small extracellular osmotic gradient, suggesting that aquaporin-4 facilitates water influx across the leading edge of a migrating cell. In an in vivo model of reactive gliosis and astroglial cell migration produced by cortical stab injury, glial scar formation was remarkably impaired in aquaporin-4-null mice, with reduced migration of reactive astroglia towards the site of injury. Our findings provide evidence for the involvement of aquaporin-4 in astroglial cell migration, which occurs during glial scar formation in brain injury, stroke, tumor and focal abscess.","container-title":"Journal of Cell Science","DOI":"10.1242/jcs.02680","ISSN":"0021-9533, 1477-9137","issue":"24","language":"en","note":"publisher: The Company of Biologists Ltd\nsection: Research Article\nPMID: 16303850","page":"5691-5698","source":"jcs.biologists.org","title":"Involvement of aquaporin-4 in astroglial cell migration and glial scar formation","volume":"118","author":[{"family":"Saadoun","given":"Samira"},{"family":"Papadopoulos","given":"Marios C."},{"family":"Watanabe","given":"Hiroyuki"},{"family":"Yan","given":"Donghong"},{"family":"Manley","given":"Geoffrey T."},{"family":"Verkman","given":"A. S."}],"issued":{"date-parts":[["2005",12,15]]}}}],"schema":"https://github.com/citation-style-language/schema/raw/master/csl-citation.json"} </w:instrText>
      </w:r>
      <w:r w:rsidRPr="005F0974">
        <w:rPr>
          <w:rFonts w:cstheme="minorHAnsi"/>
        </w:rPr>
        <w:fldChar w:fldCharType="separate"/>
      </w:r>
      <w:r w:rsidR="00DA7707" w:rsidRPr="00DA7707">
        <w:rPr>
          <w:rFonts w:ascii="Calibri" w:hAnsi="Calibri" w:cs="Calibri"/>
          <w:vertAlign w:val="superscript"/>
        </w:rPr>
        <w:t>231</w:t>
      </w:r>
      <w:r w:rsidRPr="005F0974">
        <w:rPr>
          <w:rFonts w:cstheme="minorHAnsi"/>
        </w:rPr>
        <w:fldChar w:fldCharType="end"/>
      </w:r>
      <w:r w:rsidRPr="005F0974">
        <w:rPr>
          <w:rFonts w:cstheme="minorHAnsi"/>
        </w:rPr>
        <w:t xml:space="preserve"> in glial cells. </w:t>
      </w:r>
    </w:p>
    <w:p w14:paraId="082FB678" w14:textId="58110084" w:rsidR="00C152EE" w:rsidRPr="005F0974" w:rsidRDefault="00C152EE" w:rsidP="00C152EE">
      <w:pPr>
        <w:pBdr>
          <w:top w:val="nil"/>
          <w:left w:val="nil"/>
          <w:bottom w:val="nil"/>
          <w:right w:val="nil"/>
          <w:between w:val="nil"/>
        </w:pBdr>
        <w:ind w:right="-14"/>
        <w:rPr>
          <w:rFonts w:cstheme="minorHAnsi"/>
        </w:rPr>
      </w:pPr>
      <w:r w:rsidRPr="005F0974">
        <w:rPr>
          <w:rFonts w:cstheme="minorHAnsi"/>
        </w:rPr>
        <w:t>Aquaporin 7 is involved in water/glycerol transport in adipocytes (i.e. fat cells),</w:t>
      </w:r>
      <w:r w:rsidRPr="005F0974">
        <w:rPr>
          <w:rFonts w:cstheme="minorHAnsi"/>
        </w:rPr>
        <w:fldChar w:fldCharType="begin"/>
      </w:r>
      <w:r w:rsidR="00DA7707">
        <w:rPr>
          <w:rFonts w:cstheme="minorHAnsi"/>
        </w:rPr>
        <w:instrText xml:space="preserve"> ADDIN ZOTERO_ITEM CSL_CITATION {"citationID":"xX87vs9G","properties":{"formattedCitation":"\\super 232\\nosupersub{}","plainCitation":"232","noteIndex":0},"citationItems":[{"id":2024,"uris":["http://zotero.org/users/6281125/items/VCJNAE7K"],"uri":["http://zotero.org/users/6281125/items/VCJNAE7K"],"itemData":{"id":2024,"type":"article-journal","container-title":"Journal of Biological Chemistry","DOI":"10.1074/jbc.C500028200","ISSN":"0021-9258, 1083-351X","issue":"16","journalAbbreviation":"J. Biol. Chem.","language":"en","page":"15493-15496","source":"DOI.org (Crossref)","title":"Progressive Adipocyte Hypertrophy in Aquaporin-7-deficient Mice: ADIPOCYTE GLYCEROL PERMEABILITY AS A NOVEL REGULATOR OF FAT ACCUMULATION","title-short":"Progressive Adipocyte Hypertrophy in Aquaporin-7-deficient Mice","volume":"280","author":[{"family":"Hara-Chikuma","given":"Mariko"},{"family":"Sohara","given":"Eisei"},{"family":"Rai","given":"Tatemitsu"},{"family":"Ikawa","given":"Masahito"},{"family":"Okabe","given":"Masaru"},{"family":"Sasaki","given":"Sei"},{"family":"Uchida","given":"Shinichi"},{"family":"Verkman","given":"A. S."}],"issued":{"date-parts":[["2005",4,22]]}}}],"schema":"https://github.com/citation-style-language/schema/raw/master/csl-citation.json"} </w:instrText>
      </w:r>
      <w:r w:rsidRPr="005F0974">
        <w:rPr>
          <w:rFonts w:cstheme="minorHAnsi"/>
        </w:rPr>
        <w:fldChar w:fldCharType="separate"/>
      </w:r>
      <w:r w:rsidR="00DA7707" w:rsidRPr="00DA7707">
        <w:rPr>
          <w:rFonts w:ascii="Calibri" w:hAnsi="Calibri" w:cs="Calibri"/>
          <w:vertAlign w:val="superscript"/>
        </w:rPr>
        <w:t>232</w:t>
      </w:r>
      <w:r w:rsidRPr="005F0974">
        <w:rPr>
          <w:rFonts w:cstheme="minorHAnsi"/>
        </w:rPr>
        <w:fldChar w:fldCharType="end"/>
      </w:r>
      <w:r w:rsidRPr="005F0974">
        <w:rPr>
          <w:rFonts w:cstheme="minorHAnsi"/>
        </w:rPr>
        <w:t xml:space="preserve"> and was primarily observed in the epithelium of both species. Although AQP7 has been previously localized to submucosal laryngeal glands in mice,</w:t>
      </w:r>
      <w:r w:rsidRPr="005F0974">
        <w:rPr>
          <w:rFonts w:cstheme="minorHAnsi"/>
        </w:rPr>
        <w:fldChar w:fldCharType="begin"/>
      </w:r>
      <w:r w:rsidR="00DA7707">
        <w:rPr>
          <w:rFonts w:cstheme="minorHAnsi"/>
        </w:rPr>
        <w:instrText xml:space="preserve"> ADDIN ZOTERO_ITEM CSL_CITATION {"citationID":"MyIb1Xds","properties":{"formattedCitation":"\\super 224\\nosupersub{}","plainCitation":"224","noteIndex":0},"citationItems":[{"id":574,"uris":["http://zotero.org/users/6281125/items/6V94DL4J"],"uri":["http://zotero.org/users/6281125/items/6V94DL4J"],"itemData":{"id":574,"type":"article-journal","abstract":"CONCLUSION: Expression of aquaporins (AQPs) in the vocal folds and the parasympathetic regulation of AQPs in the laryngeal glands may be important for controlling laryngeal secretion and vocal fold hydration. These findings are thought to be an initial step towards understanding potential mechanisms of water flow through the vocal fold surface.$\\backslash$n$\\backslash$nOBJECTIVES: Lubrication of the vocal folds is important for phonation and laryngeal defense. However, the system of water transport in the laryngeal epithelium has not yet been clarified. We investigated the expression of AQP water channnels (AQP1-9) in the murine larynx and examined the neural regulating mechanisms of these subtypes.$\\backslash$n$\\backslash$nMETHODS: The distribution of AQPs (AQP1-9) in the murine larynx was examined by immunohistochemistry. Next, the neural mechanism regulating AQPs in the larynx was investigated using unilaterally vagotomized mice.$\\backslash$n$\\backslash$nRESULTS: AQP1, 4, and 5 were expressed in the laryngeal epithelium including the vocal folds. Vocal fold AQP expression was minimal at the vocal process. AQP2, 3, 5, 6, 7, and 8 were localized to the submucosal glands. Expression of AQPs in the vagotomized region was significantly decreased compared with the contralateral intact side. The expression in the laryngeal glands was also decreased in the aged mice.","container-title":"Acta Oto-Laryngologica","DOI":"10.3109/00016489.2011.644253","ISSN":"00016489","issue":"4","note":"PMID: 22235909","page":"439–446","title":"Localization and regulation of aquaporins in the murine larynx","volume":"132","author":[{"family":"Ahmed","given":"Mona El Rabie"},{"family":"Bando","given":"Hideki"},{"family":"Hirota","given":"Ryuichi"},{"family":"Sakaguchi","given":"Hirofumi"},{"family":"Koike","given":"Shinobu"},{"family":"El-Adawy","given":"Ahlam Abdel Salam Nabieh"},{"family":"Kotby","given":"Mohamed Nasser"},{"family":"Hisa","given":"Yasuo"}],"issued":{"date-parts":[["2012"]]}}}],"schema":"https://github.com/citation-style-language/schema/raw/master/csl-citation.json"} </w:instrText>
      </w:r>
      <w:r w:rsidRPr="005F0974">
        <w:rPr>
          <w:rFonts w:cstheme="minorHAnsi"/>
        </w:rPr>
        <w:fldChar w:fldCharType="separate"/>
      </w:r>
      <w:r w:rsidR="00DA7707" w:rsidRPr="00DA7707">
        <w:rPr>
          <w:rFonts w:ascii="Calibri" w:hAnsi="Calibri" w:cs="Calibri"/>
          <w:vertAlign w:val="superscript"/>
        </w:rPr>
        <w:t>224</w:t>
      </w:r>
      <w:r w:rsidRPr="005F0974">
        <w:rPr>
          <w:rFonts w:cstheme="minorHAnsi"/>
        </w:rPr>
        <w:fldChar w:fldCharType="end"/>
      </w:r>
      <w:r w:rsidRPr="005F0974">
        <w:rPr>
          <w:rFonts w:cstheme="minorHAnsi"/>
        </w:rPr>
        <w:t xml:space="preserve"> our study seems to be the first to identify AQP7 in the epithelium of rabbit and human </w:t>
      </w:r>
      <w:r w:rsidR="00C872A8">
        <w:rPr>
          <w:rFonts w:cstheme="minorHAnsi"/>
        </w:rPr>
        <w:t>VFs</w:t>
      </w:r>
      <w:r w:rsidRPr="005F0974">
        <w:rPr>
          <w:rFonts w:cstheme="minorHAnsi"/>
        </w:rPr>
        <w:t xml:space="preserve">. Most rabbit samples also had positive labeling in the superficial LP, which may be due to the presence of adipocytes in the connective tissue. Although the presence </w:t>
      </w:r>
      <w:r w:rsidR="000F22FE">
        <w:rPr>
          <w:rFonts w:cstheme="minorHAnsi"/>
        </w:rPr>
        <w:t xml:space="preserve">of </w:t>
      </w:r>
      <w:r w:rsidRPr="005F0974">
        <w:rPr>
          <w:rFonts w:cstheme="minorHAnsi"/>
        </w:rPr>
        <w:t xml:space="preserve">adipocytes in the VF LP has not been confirmed to our knowledge, studies in bladder mucosa revealed that adipocytes constitute the </w:t>
      </w:r>
      <w:r w:rsidR="00C872A8">
        <w:rPr>
          <w:rFonts w:cstheme="minorHAnsi"/>
        </w:rPr>
        <w:t>ECM</w:t>
      </w:r>
      <w:r w:rsidRPr="005F0974">
        <w:rPr>
          <w:rFonts w:cstheme="minorHAnsi"/>
        </w:rPr>
        <w:t xml:space="preserve"> composing the LP.</w:t>
      </w:r>
      <w:r w:rsidRPr="005F0974">
        <w:rPr>
          <w:rFonts w:cstheme="minorHAnsi"/>
        </w:rPr>
        <w:fldChar w:fldCharType="begin"/>
      </w:r>
      <w:r w:rsidR="00DA7707">
        <w:rPr>
          <w:rFonts w:cstheme="minorHAnsi"/>
        </w:rPr>
        <w:instrText xml:space="preserve"> ADDIN ZOTERO_ITEM CSL_CITATION {"citationID":"1n5KH5GY","properties":{"formattedCitation":"\\super 233\\nosupersub{}","plainCitation":"233","noteIndex":0},"citationItems":[{"id":2025,"uris":["http://zotero.org/users/6281125/items/FBF26J7C"],"uri":["http://zotero.org/users/6281125/items/FBF26J7C"],"itemData":{"id":2025,"type":"article-journal","abstract":"The bladder mucosa consists of the urothelium, basement membrane, and lamina propria (LP). Although the urothelium has been given much attention, it may be regarded as one part of a signaling system involving another equally important component of the bladder mucosa, namely, the LP. The LP lies between the basement membrane of the mucosa and the detrusor muscle and is composed of an extracellular matrix containing several types of cells, including fibroblasts, adipocytes, interstitial cells, and afferent and efferent nerve endings. In addition, the LP contains a rich vascular network, lymphatic vessels, elastic fibers, and smooth muscle fascicles (muscularis mucosae). The roles of the LP and its components in bladder function have not been definitively established, though it has been suggested to be the capacitance layer of the bladder, determining bladder compliance and enabling adaptive changes to increasing volumes. However, the bladder LP may also serve as a communication center, with an important integrative role in signal transduction to the central nervous system (nociception, mechanosensation). The LP may also, by means of its different components, make it possible for the urothelium to transmit information to other components of the bladder wall, contributing to activation of the detrusor muscle. In addition, the LP may serve as a source for production of factors influencing the growth of both the overlying urothelium and the underlying detrusor muscle. Neurourol. Urodynam. 33:9–16, 2014. © 2013 The Authors. Neurourology and Urodynamics published by Wiley Periodicals, Inc.","container-title":"Neurourology and Urodynamics","DOI":"10.1002/nau.22465","ISSN":"1520-6777","issue":"1","language":"en","note":"_eprint: https://onlinelibrary.wiley.com/doi/pdf/10.1002/nau.22465","page":"9-16","source":"Wiley Online Library","title":"Lamina propria: The functional center of the bladder?","title-short":"Lamina propria","volume":"33","author":[{"family":"Andersson","given":"Karl-Erik"},{"family":"McCloskey","given":"Karen D."}],"issued":{"date-parts":[["2014"]]}}}],"schema":"https://github.com/citation-style-language/schema/raw/master/csl-citation.json"} </w:instrText>
      </w:r>
      <w:r w:rsidRPr="005F0974">
        <w:rPr>
          <w:rFonts w:cstheme="minorHAnsi"/>
        </w:rPr>
        <w:fldChar w:fldCharType="separate"/>
      </w:r>
      <w:r w:rsidR="00DA7707" w:rsidRPr="00DA7707">
        <w:rPr>
          <w:rFonts w:ascii="Calibri" w:hAnsi="Calibri" w:cs="Calibri"/>
          <w:vertAlign w:val="superscript"/>
        </w:rPr>
        <w:t>233</w:t>
      </w:r>
      <w:r w:rsidRPr="005F0974">
        <w:rPr>
          <w:rFonts w:cstheme="minorHAnsi"/>
        </w:rPr>
        <w:fldChar w:fldCharType="end"/>
      </w:r>
      <w:r w:rsidRPr="005F0974">
        <w:rPr>
          <w:rFonts w:cstheme="minorHAnsi"/>
        </w:rPr>
        <w:t xml:space="preserve"> </w:t>
      </w:r>
    </w:p>
    <w:p w14:paraId="2977CAF9" w14:textId="0FB77159" w:rsidR="00C152EE" w:rsidRPr="005F0974" w:rsidRDefault="00C152EE" w:rsidP="00C152EE">
      <w:pPr>
        <w:pBdr>
          <w:top w:val="nil"/>
          <w:left w:val="nil"/>
          <w:bottom w:val="nil"/>
          <w:right w:val="nil"/>
          <w:between w:val="nil"/>
        </w:pBdr>
        <w:ind w:right="-14"/>
        <w:rPr>
          <w:rFonts w:cstheme="minorHAnsi"/>
        </w:rPr>
      </w:pPr>
      <w:r w:rsidRPr="005F0974">
        <w:rPr>
          <w:rFonts w:cstheme="minorHAnsi"/>
        </w:rPr>
        <w:t>Sodium-potassium adenosine triphosphatase functions by using active transport to pump three positively charged sodium ions out of the cell, while simultaneously pumping two positively charged potassium ions into the cell.</w:t>
      </w:r>
      <w:r w:rsidRPr="005F0974">
        <w:rPr>
          <w:rFonts w:cstheme="minorHAnsi"/>
        </w:rPr>
        <w:fldChar w:fldCharType="begin" w:fldLock="1"/>
      </w:r>
      <w:r w:rsidR="009C3F05" w:rsidRPr="005F0974">
        <w:rPr>
          <w:rFonts w:cstheme="minorHAnsi"/>
        </w:rPr>
        <w:instrText xml:space="preserve"> ADDIN ZOTERO_ITEM CSL_CITATION {"citationID":"nCDmUpFo","properties":{"formattedCitation":"\\super 26\\nosupersub{}","plainCitation":"26","noteIndex":0},"citationItems":[{"id":339,"uris":["http://zotero.org/users/6281125/items/X975C4LK"],"uri":["http://zotero.org/users/6281125/items/X975C4LK"],"itemData":{"id":339,"type":"article-journal","container-title":"Biological Reports","issue":"4","page":"155-159","title":"The identification of the sodium pump","volume":"18","author":[{"family":"Skou","given":"Jens Chr"}],"issued":{"date-parts":[["1998"]]}}}],"schema":"https://github.com/citation-style-language/schema/raw/master/csl-citation.json"} </w:instrText>
      </w:r>
      <w:r w:rsidRPr="005F0974">
        <w:rPr>
          <w:rFonts w:cstheme="minorHAnsi"/>
        </w:rPr>
        <w:fldChar w:fldCharType="separate"/>
      </w:r>
      <w:r w:rsidR="009C3F05" w:rsidRPr="005F0974">
        <w:rPr>
          <w:rFonts w:ascii="Calibri" w:hAnsi="Calibri" w:cs="Calibri"/>
          <w:vertAlign w:val="superscript"/>
        </w:rPr>
        <w:t>26</w:t>
      </w:r>
      <w:r w:rsidRPr="005F0974">
        <w:rPr>
          <w:rFonts w:cstheme="minorHAnsi"/>
        </w:rPr>
        <w:fldChar w:fldCharType="end"/>
      </w:r>
      <w:r w:rsidRPr="005F0974">
        <w:rPr>
          <w:rFonts w:cstheme="minorHAnsi"/>
        </w:rPr>
        <w:t xml:space="preserve"> This results in a difference in charge between the interior and exterior of the cell, forming an osmotic gradient. Fisher and colleagues</w:t>
      </w:r>
      <w:r w:rsidRPr="005F0974">
        <w:rPr>
          <w:rFonts w:cstheme="minorHAnsi"/>
        </w:rPr>
        <w:fldChar w:fldCharType="begin"/>
      </w:r>
      <w:r w:rsidR="00DA7707">
        <w:rPr>
          <w:rFonts w:cstheme="minorHAnsi"/>
        </w:rPr>
        <w:instrText xml:space="preserve"> ADDIN ZOTERO_ITEM CSL_CITATION {"citationID":"VKT0ZcTj","properties":{"formattedCitation":"\\super 234\\nosupersub{}","plainCitation":"234","noteIndex":0},"citationItems":[{"id":588,"uris":["http://zotero.org/users/6281125/items/X6U4X5J6"],"uri":["http://zotero.org/users/6281125/items/X6U4X5J6"],"itemData":{"id":588,"type":"article-journal","abstract":"Vocal fold hydration is critical to phonation. We hypothesized that the vocal fold generates bidirectional water fluxes, which are regulated by activity of the Na(+)-K(+)- ATPase. Western blots and immunohistochemistry demonstrated the presence of the alpha-subunit Na(+)-K(+)-ATPase in the canine vocal fold (n = 11). Luminal cells, basal and adjacent one to two layers of suprabasal cells within stratified squamous epithelium, were immunopositive, as well as basolateral membranes of submucosal seromucous glands underlying transitional epithelia. Canine (n = 6) and ovine (n = 14) vocal fold mucosae exhibited transepithelial potential differences of 8.1 +/- 2.8 and 9.3 +/- 1.3 mV (lumen negative), respectively. The potential difference and short-circuit current (ovine = 31 +/- 4 microA/cm(2); canine = 41 +/- 10 microA/cm(2)) were substantially reduced by luminal administration of 75 microM acetylstrophanthidin (P \\textless 0.05). Ovine (n = 7) transepithelial water fluxes decreased from 5.1 +/- 0.3 to 4.3 +/- 0.3 microl x min(-1) x cm(-2) from the basal to luminal chamber and from 5.2 +/- 0.2 to 3.9 +/- 0.3 microl x min(-1) x cm(-2) from the luminal to basal chamber by luminal acetylstrophanthidin (P \\textless 0.05). The presence of the Na(+)-K(+)-ATPase in the vocal fold epithelium and the electrolyte transport derived from its activity provide the intrinsic mechanisms to regulate cell volume as well as vocal fold hydration.","container-title":"Journal of applied physiology (Bethesda, Md. : 1985)","ISSN":"8750-7587","issue":"3","note":"PMID: 11509542","page":"1401–11","title":"Regulation of vocal fold transepithelial water fluxes.","volume":"91","author":[{"family":"Fisher","given":"K V"},{"family":"Telser","given":"a"},{"family":"Phillips","given":"J E"},{"family":"Yeates","given":"D B"}],"issued":{"date-parts":[["2001"]]}}}],"schema":"https://github.com/citation-style-language/schema/raw/master/csl-citation.json"} </w:instrText>
      </w:r>
      <w:r w:rsidRPr="005F0974">
        <w:rPr>
          <w:rFonts w:cstheme="minorHAnsi"/>
        </w:rPr>
        <w:fldChar w:fldCharType="separate"/>
      </w:r>
      <w:r w:rsidR="00DA7707" w:rsidRPr="00DA7707">
        <w:rPr>
          <w:rFonts w:ascii="Calibri" w:hAnsi="Calibri" w:cs="Calibri"/>
          <w:vertAlign w:val="superscript"/>
        </w:rPr>
        <w:t>234</w:t>
      </w:r>
      <w:r w:rsidRPr="005F0974">
        <w:rPr>
          <w:rFonts w:cstheme="minorHAnsi"/>
        </w:rPr>
        <w:fldChar w:fldCharType="end"/>
      </w:r>
      <w:r w:rsidRPr="005F0974">
        <w:rPr>
          <w:rFonts w:cstheme="minorHAnsi"/>
        </w:rPr>
        <w:t xml:space="preserve"> were the first to determine that this osmotic gradient is the driving force of water diffusion and transport across the cell membrane of VF epithelium. Water transfer and hydration of the </w:t>
      </w:r>
      <w:r w:rsidR="00C872A8">
        <w:rPr>
          <w:rFonts w:cstheme="minorHAnsi"/>
        </w:rPr>
        <w:t>VFs</w:t>
      </w:r>
      <w:r w:rsidRPr="005F0974">
        <w:rPr>
          <w:rFonts w:cstheme="minorHAnsi"/>
        </w:rPr>
        <w:t xml:space="preserve"> have been reported to increase the efficiency of VF oscillation and voice production through its contributions to phonation threshold pressure.</w:t>
      </w:r>
      <w:r w:rsidRPr="005F0974">
        <w:rPr>
          <w:rFonts w:cstheme="minorHAnsi"/>
        </w:rPr>
        <w:fldChar w:fldCharType="begin"/>
      </w:r>
      <w:r w:rsidR="009C3F05" w:rsidRPr="005F0974">
        <w:rPr>
          <w:rFonts w:cstheme="minorHAnsi"/>
        </w:rPr>
        <w:instrText xml:space="preserve"> ADDIN ZOTERO_ITEM CSL_CITATION {"citationID":"stuH1eMa","properties":{"formattedCitation":"\\super 25\\nosupersub{}","plainCitation":"25","noteIndex":0},"citationItems":[{"id":1873,"uris":["http://zotero.org/users/6281125/items/CL6P34EW"],"uri":["http://zotero.org/users/6281125/items/CL6P34EW"],"itemData":{"id":1873,"type":"article-journal","abstract":"Vocal fold surface liquid homeostasis contributes to optimal vocal physiology. In this paper we review emerging evidence that vocal fold surface liquid is maintained in part by salt and water fluxes across the epithelium. Based on recent immunolocalization and electrophysiological findings, we describe a transcellular pathway as one mechanism for regulating superficial vocal fold hydration. We propose that the pathway includes the sodium-potassium pump, sodium-potassium-chloride cotransporter, epithelial sodium channels, cystic fibrosis transmembrane regulator chloride channels, and aquaporin water channels. By integrating knowledge of the regulating mechanisms underlying ion and fluid transport with observations from hydration challenges and treatments using in vitro and in vivo studies, we provide a theoretical basis for understanding how environmental and behavioral challenges and clinical interventions may modify vocal fold surface liquid composition. We present converging evidence that clinical protocols directed at facilitating vocal fold epithelial ion and fluid transport may benefit healthy speakers, those with voice disorders, and those at risk for voice disorders.","container-title":"Journal of voice : official journal of the Voice Foundation","DOI":"10.1016/j.jvoice.2008.03.010","ISSN":"0892-1997","issue":"6","journalAbbreviation":"J Voice","note":"PMID: 19111440\nPMCID: PMC2810851","page":"658-665","source":"PubMed Central","title":"Vocal fold surface hydration: A review","title-short":"Vocal Fold Surface Hydration","volume":"23","author":[{"family":"Leydon","given":"Ciara"},{"family":"Sivasankar","given":"Mahalakshmi"},{"family":"Falciglia","given":"Danielle Lodewyck"},{"family":"Atkins","given":"Christopher"},{"family":"Fisher","given":"Kimberly V."}],"issued":{"date-parts":[["2009",11]]}}}],"schema":"https://github.com/citation-style-language/schema/raw/master/csl-citation.json"} </w:instrText>
      </w:r>
      <w:r w:rsidRPr="005F0974">
        <w:rPr>
          <w:rFonts w:cstheme="minorHAnsi"/>
        </w:rPr>
        <w:fldChar w:fldCharType="separate"/>
      </w:r>
      <w:r w:rsidR="009C3F05" w:rsidRPr="005F0974">
        <w:rPr>
          <w:rFonts w:ascii="Calibri" w:hAnsi="Calibri" w:cs="Calibri"/>
          <w:vertAlign w:val="superscript"/>
        </w:rPr>
        <w:t>25</w:t>
      </w:r>
      <w:r w:rsidRPr="005F0974">
        <w:rPr>
          <w:rFonts w:cstheme="minorHAnsi"/>
        </w:rPr>
        <w:fldChar w:fldCharType="end"/>
      </w:r>
      <w:r w:rsidRPr="005F0974">
        <w:rPr>
          <w:rFonts w:cstheme="minorHAnsi"/>
        </w:rPr>
        <w:t xml:space="preserve"> In the current study, Na+/K+-ATPase was localized to intracellular membranes of the epithelium in both species. The rabbit samples demonstrated more intense labeling in the basal-most region of the epithelium. This finding is comparable to those identified by Fisher et al.</w:t>
      </w:r>
      <w:r w:rsidRPr="005F0974">
        <w:rPr>
          <w:rFonts w:cstheme="minorHAnsi"/>
        </w:rPr>
        <w:fldChar w:fldCharType="begin"/>
      </w:r>
      <w:r w:rsidR="00DA7707">
        <w:rPr>
          <w:rFonts w:cstheme="minorHAnsi"/>
        </w:rPr>
        <w:instrText xml:space="preserve"> ADDIN ZOTERO_ITEM CSL_CITATION {"citationID":"tKlnN30c","properties":{"formattedCitation":"\\super 234\\nosupersub{}","plainCitation":"234","noteIndex":0},"citationItems":[{"id":588,"uris":["http://zotero.org/users/6281125/items/X6U4X5J6"],"uri":["http://zotero.org/users/6281125/items/X6U4X5J6"],"itemData":{"id":588,"type":"article-journal","abstract":"Vocal fold hydration is critical to phonation. We hypothesized that the vocal fold generates bidirectional water fluxes, which are regulated by activity of the Na(+)-K(+)- ATPase. Western blots and immunohistochemistry demonstrated the presence of the alpha-subunit Na(+)-K(+)-ATPase in the canine vocal fold (n = 11). Luminal cells, basal and adjacent one to two layers of suprabasal cells within stratified squamous epithelium, were immunopositive, as well as basolateral membranes of submucosal seromucous glands underlying transitional epithelia. Canine (n = 6) and ovine (n = 14) vocal fold mucosae exhibited transepithelial potential differences of 8.1 +/- 2.8 and 9.3 +/- 1.3 mV (lumen negative), respectively. The potential difference and short-circuit current (ovine = 31 +/- 4 microA/cm(2); canine = 41 +/- 10 microA/cm(2)) were substantially reduced by luminal administration of 75 microM acetylstrophanthidin (P \\textless 0.05). Ovine (n = 7) transepithelial water fluxes decreased from 5.1 +/- 0.3 to 4.3 +/- 0.3 microl x min(-1) x cm(-2) from the basal to luminal chamber and from 5.2 +/- 0.2 to 3.9 +/- 0.3 microl x min(-1) x cm(-2) from the luminal to basal chamber by luminal acetylstrophanthidin (P \\textless 0.05). The presence of the Na(+)-K(+)-ATPase in the vocal fold epithelium and the electrolyte transport derived from its activity provide the intrinsic mechanisms to regulate cell volume as well as vocal fold hydration.","container-title":"Journal of applied physiology (Bethesda, Md. : 1985)","ISSN":"8750-7587","issue":"3","note":"PMID: 11509542","page":"1401–11","title":"Regulation of vocal fold transepithelial water fluxes.","volume":"91","author":[{"family":"Fisher","given":"K V"},{"family":"Telser","given":"a"},{"family":"Phillips","given":"J E"},{"family":"Yeates","given":"D B"}],"issued":{"date-parts":[["2001"]]}}}],"schema":"https://github.com/citation-style-language/schema/raw/master/csl-citation.json"} </w:instrText>
      </w:r>
      <w:r w:rsidRPr="005F0974">
        <w:rPr>
          <w:rFonts w:cstheme="minorHAnsi"/>
        </w:rPr>
        <w:fldChar w:fldCharType="separate"/>
      </w:r>
      <w:r w:rsidR="00DA7707" w:rsidRPr="00DA7707">
        <w:rPr>
          <w:rFonts w:ascii="Calibri" w:hAnsi="Calibri" w:cs="Calibri"/>
          <w:vertAlign w:val="superscript"/>
        </w:rPr>
        <w:t>234</w:t>
      </w:r>
      <w:r w:rsidRPr="005F0974">
        <w:rPr>
          <w:rFonts w:cstheme="minorHAnsi"/>
        </w:rPr>
        <w:fldChar w:fldCharType="end"/>
      </w:r>
      <w:r w:rsidRPr="005F0974">
        <w:rPr>
          <w:rFonts w:cstheme="minorHAnsi"/>
        </w:rPr>
        <w:t xml:space="preserve"> who identified Na+/K+-ATPase in the cell membranes of the basal-most epithelium in canine larynges. The human samples demonstrated an equal distribution in both apical and basal regions of the epithelium. The slight distribution variations of Na+/K+-ATPase may be due to the differences in epithelial layers between species, as humans have 5-10 layers of </w:t>
      </w:r>
      <w:r w:rsidR="005F3F10">
        <w:rPr>
          <w:rFonts w:cstheme="minorHAnsi"/>
        </w:rPr>
        <w:t>SSE</w:t>
      </w:r>
      <w:r w:rsidRPr="005F0974">
        <w:rPr>
          <w:rFonts w:cstheme="minorHAnsi"/>
        </w:rPr>
        <w:t xml:space="preserve"> while rabbits have only 2-4.</w:t>
      </w:r>
      <w:r w:rsidRPr="005F0974">
        <w:rPr>
          <w:rFonts w:cstheme="minorHAnsi"/>
        </w:rPr>
        <w:fldChar w:fldCharType="begin"/>
      </w:r>
      <w:r w:rsidR="00DA7707">
        <w:rPr>
          <w:rFonts w:cstheme="minorHAnsi"/>
        </w:rPr>
        <w:instrText xml:space="preserve"> ADDIN ZOTERO_ITEM CSL_CITATION {"citationID":"C6euixXg","properties":{"formattedCitation":"\\super 24,235\\nosupersub{}","plainCitation":"24,235","noteIndex":0},"citationItems":[{"id":1884,"uris":["http://zotero.org/users/6281125/items/73IE46PN"],"uri":["http://zotero.org/users/6281125/items/73IE46PN"],"itemData":{"id":1884,"type":"article-journal","container-title":"European Archives of Oto-Rhino-Laryngology","DOI":"10.1007/s00405-007-0246-8","ISSN":"0937-4477, 1434-4726","issue":"6","journalAbbreviation":"Eur Arch Otorhinolaryngol","language":"en","page":"645-649","source":"DOI.org (Crossref)","title":"Histologic assessment of epithelial thickness in early laryngeal cancer or precursor lesions and its impact on endoscopic imaging","volume":"264","author":[{"family":"Arens","given":"Christoph"},{"family":"Glanz","given":"Hiltrud"},{"family":"Wönckhaus","given":"Joachim"},{"family":"Hersemeyer","given":"Karin"},{"family":"Kraft","given":"Marcel"}],"issued":{"date-parts":[["2007",5,2]]}}},{"id":1880,"uris":["http://zotero.org/users/6281125/items/AVK8NLNJ"],"uri":["http://zotero.org/users/6281125/items/AVK8NLNJ"],"itemData":{"id":1880,"type":"article-journal","abstract":"Background The larynx is a complex organ composed of different connective tissue elements. So far, the extracellular matrix of the larynx has not been thoroughly described. Hyaluronan is a matrix polysaccharide with physicochemical effects and biological cell functions in soft connective tissues. Methods The histochemical distribution of hyaluronan (hyaluronic acid, hyaluronate) was studied in tissue sections from various levels of the rabbit larynx by means of a hyaluronan-binding protein and avidin biotin peroxidase staining. Microwave-aided fixation was used to retain the extracellular location of hyaluronan. Results Hyaluronan accumulated chiefly in the subepithelial lamina propria and in the connective tissue enclosing striated muscle fibres of the thyroarytenoid muscle and vocalis muscle. This localization contrasted sharply with the weak staining for hyaluronan in muscles external to the thyroid cartilage. Intensive staining for hyaluronan was found in perivascular and periglandular connective tissue, as in the vacuoles of the hyaline cartilage of the thyroid, cricoid and arytenoid cartilages, and to a lesser extent in the lacunae of the chondrocytes and in the perichondrium of the elastic cartilage of the epiglottis. Conclusions Hyaluronan was heterogenously distributed in the rabbit larynx. It was abundant in intrinsic laryngeal muscles performing small, precise, and rapid movements and in the subepithelium at the glottic level, where it may facilitate mucosal movements. The abundant hyaluronan in the subglottic region may be involved in the control of vascular leakage and edema formation. © 1996 Wiley-Liss, Inc.","container-title":"The Anatomical Record","DOI":"10.1002/(SICI)1097-0185(199612)246:4&lt;441::AID-AR3&gt;3.0.CO;2-Y","ISSN":"1097-0185","issue":"4","language":"en","note":"_eprint: https://anatomypubs.onlinelibrary.wiley.com/doi/pdf/10.1002/%28SICI%291097-0185%28199612%29246%3A4%3C441%3A%3AAID-AR3%3E3.0.CO%3B2-Y","page":"441-445","source":"Wiley Online Library","title":"Hyaluronan localization in the rabbit larynx","volume":"246","author":[{"family":"Hallén","given":"L."},{"family":"Johansson","given":"C."},{"family":"Laurent","given":"C."},{"family":"Dahlqvist","given":"Å"}],"issued":{"date-parts":[["1996"]]}}}],"schema":"https://github.com/citation-style-language/schema/raw/master/csl-citation.json"} </w:instrText>
      </w:r>
      <w:r w:rsidRPr="005F0974">
        <w:rPr>
          <w:rFonts w:cstheme="minorHAnsi"/>
        </w:rPr>
        <w:fldChar w:fldCharType="separate"/>
      </w:r>
      <w:r w:rsidR="00DA7707" w:rsidRPr="00DA7707">
        <w:rPr>
          <w:rFonts w:ascii="Calibri" w:hAnsi="Calibri" w:cs="Calibri"/>
          <w:vertAlign w:val="superscript"/>
        </w:rPr>
        <w:t>24,235</w:t>
      </w:r>
      <w:r w:rsidRPr="005F0974">
        <w:rPr>
          <w:rFonts w:cstheme="minorHAnsi"/>
        </w:rPr>
        <w:fldChar w:fldCharType="end"/>
      </w:r>
      <w:r w:rsidRPr="005F0974">
        <w:rPr>
          <w:rFonts w:cstheme="minorHAnsi"/>
        </w:rPr>
        <w:t xml:space="preserve"> </w:t>
      </w:r>
    </w:p>
    <w:p w14:paraId="73B280D4" w14:textId="64239610" w:rsidR="00C152EE" w:rsidRPr="005F0974" w:rsidRDefault="00C152EE" w:rsidP="00C152EE">
      <w:pPr>
        <w:pBdr>
          <w:top w:val="nil"/>
          <w:left w:val="nil"/>
          <w:bottom w:val="nil"/>
          <w:right w:val="nil"/>
          <w:between w:val="nil"/>
        </w:pBdr>
        <w:ind w:right="-14"/>
        <w:rPr>
          <w:color w:val="000000" w:themeColor="text1"/>
        </w:rPr>
      </w:pPr>
      <w:r w:rsidRPr="005F0974">
        <w:rPr>
          <w:rFonts w:cstheme="minorHAnsi"/>
        </w:rPr>
        <w:t xml:space="preserve">E-cadherin is a cell adhesion molecule present in epithelial cells and is believed to maintain the epithelial barrier created by </w:t>
      </w:r>
      <w:r w:rsidR="005F3F10">
        <w:rPr>
          <w:rFonts w:cstheme="minorHAnsi"/>
        </w:rPr>
        <w:t>TJs</w:t>
      </w:r>
      <w:r w:rsidRPr="005F0974">
        <w:rPr>
          <w:rFonts w:cstheme="minorHAnsi"/>
        </w:rPr>
        <w:t>.</w:t>
      </w:r>
      <w:r w:rsidRPr="005F0974">
        <w:rPr>
          <w:rFonts w:cstheme="minorHAnsi"/>
        </w:rPr>
        <w:fldChar w:fldCharType="begin" w:fldLock="1"/>
      </w:r>
      <w:r w:rsidR="009C3F05" w:rsidRPr="005F0974">
        <w:rPr>
          <w:rFonts w:cstheme="minorHAnsi"/>
        </w:rPr>
        <w:instrText xml:space="preserve"> ADDIN ZOTERO_ITEM CSL_CITATION {"citationID":"m6rMoXtp","properties":{"formattedCitation":"\\super 34\\nosupersub{}","plainCitation":"34","noteIndex":0},"citationItems":[{"id":343,"uris":["http://zotero.org/users/6281125/items/KSTA4CZS"],"uri":["http://zotero.org/users/6281125/items/KSTA4CZS"],"itemData":{"id":343,"type":"article-journal","container-title":"Annual Review of Biochemistry","issue":"1","page":"237-252","title":"Cadherins: a molecular family important in selective cell-cell adhesion","volume":"59","author":[{"family":"Takeichi","given":"Masatoshi"}],"issued":{"date-parts":[["1990"]]}}}],"schema":"https://github.com/citation-style-language/schema/raw/master/csl-citation.json"} </w:instrText>
      </w:r>
      <w:r w:rsidRPr="005F0974">
        <w:rPr>
          <w:rFonts w:cstheme="minorHAnsi"/>
        </w:rPr>
        <w:fldChar w:fldCharType="separate"/>
      </w:r>
      <w:r w:rsidR="009C3F05" w:rsidRPr="005F0974">
        <w:rPr>
          <w:rFonts w:ascii="Calibri" w:hAnsi="Calibri" w:cs="Calibri"/>
          <w:vertAlign w:val="superscript"/>
        </w:rPr>
        <w:t>34</w:t>
      </w:r>
      <w:r w:rsidRPr="005F0974">
        <w:rPr>
          <w:rFonts w:cstheme="minorHAnsi"/>
        </w:rPr>
        <w:fldChar w:fldCharType="end"/>
      </w:r>
      <w:r w:rsidRPr="005F0974">
        <w:rPr>
          <w:rFonts w:cstheme="minorHAnsi"/>
        </w:rPr>
        <w:t xml:space="preserve"> This protein was similarly localized to intercellular junctions throughout the </w:t>
      </w:r>
      <w:r w:rsidR="005F3F10">
        <w:rPr>
          <w:rFonts w:cstheme="minorHAnsi"/>
        </w:rPr>
        <w:t>SSE</w:t>
      </w:r>
      <w:r w:rsidRPr="005F0974">
        <w:rPr>
          <w:rFonts w:cstheme="minorHAnsi"/>
        </w:rPr>
        <w:t xml:space="preserve"> in both species. E-cadherin plays a crucial role in the maintenance of mucosal integrity and barrier function. Reduced expression of e-cadherin has been observed in biopsy samples of patients with laryngopharyngeal reflux.</w:t>
      </w:r>
      <w:r w:rsidRPr="005F0974">
        <w:rPr>
          <w:rFonts w:cstheme="minorHAnsi"/>
        </w:rPr>
        <w:fldChar w:fldCharType="begin"/>
      </w:r>
      <w:r w:rsidR="00DA7707">
        <w:rPr>
          <w:rFonts w:cstheme="minorHAnsi"/>
        </w:rPr>
        <w:instrText xml:space="preserve"> ADDIN ZOTERO_ITEM CSL_CITATION {"citationID":"HUCjYuiT","properties":{"formattedCitation":"\\super 236,237\\nosupersub{}","plainCitation":"236,237","noteIndex":0},"citationItems":[{"id":"cN3eXgV6/r32Tnulv","uris":["http://www.mendeley.com/documents/?uuid=ad6b9c8c-29cc-481e-9543-0c34ecf12295"],"uri":["http://www.mendeley.com/documents/?uuid=ad6b9c8c-29cc-481e-9543-0c34ecf12295"],"itemData":{"DOI":"10.1136/jcp.2004.016972","ISBN":"0021-9746 (Print)\\r0021-9746 (Linking)","ISSN":"00219746","PMID":"16311345","abstract":"The disruption of intercellular junctions in the larynx is a pathological feature of laryngopharyngeal reflux (LPR). Good experimental models are necessary to gain greater insight into the molecular mechanisms and alterations that result from abnormal exposure of the laryngeal epithelium to acid refluxate.","author":[{"dropping-particle":"","family":"Gill","given":"G. A.","non-dropping-particle":"","parse-names":false,"suffix":""},{"dropping-particle":"","family":"Buda","given":"A.","non-dropping-particle":"","parse-names":false,"suffix":""},{"dropping-particle":"","family":"Moorghen","given":"M.","non-dropping-particle":"","parse-names":false,"suffix":""},{"dropping-particle":"","family":"Dettmar","given":"P. W.","non-dropping-particle":"","parse-names":false,"suffix":""},{"dropping-particle":"","family":"Pignatelli","given":"M.","non-dropping-particle":"","parse-names":false,"suffix":""}],"container-title":"Journal of Clinical Pathology","id":"3gB2yWWo/nv1jd4lW","issue":"12","issued":{"date-parts":[["2005"]]},"page":"1265-1270","title":"Characterisation of adherens and tight junctional molecules in normal animal larynx; determining a suitable model for studying molecular abnormalities in human laryngopharyngeal reflux","type":"article-journal","volume":"58"}},{"id":606,"uris":["http://zotero.org/users/6281125/items/DDKVF89Y"],"uri":["http://zotero.org/users/6281125/items/DDKVF89Y"],"itemData":{"id":606,"type":"article-journal","abstract":"This is the second annual report of an international collaborative research group that is examining the cellular impact of laryngopharyngeal reflux (LPR) on laryngeal epithelium. The results of clinical and experimental studies are presented. Carbonic anhydrase (CA), E-cadherin, and MUC gene expression were analyzed in patients with LPR, in controls, and in an in vitro model. In patients with LPR, we found decreased levels of CAIII in vocal fold epithelium and increased levels in posterior commissure epithelium. The experimental studies confirm that laryngeal CAIII is depleted in response to reflux. Also, cell damage does occur well above pH 4.0. In addition, E-cadherin (transmembrane cell surface molecules, which have a key function in epithelial cell adhesion) was not present in 37% of the LPR laryngeal specimens. In conclusion, the laryngeal epithelium lacks defenses comparable to those in esophageal epithelium, and these differences may contribute to the increased susceptibility of laryngeal epithelium to reflux-related injury.","container-title":"Annals of Otology, Rhinology and Laryngology","DOI":"10.1177/000348940111001203","ISSN":"00034894","issue":"6","note":"PMID: 12834114","page":"481–491","title":"Cell biology of laryngeal epithelial defenses in health and disease: Further studies","volume":"112","author":[{"family":"Bulmer","given":"David"},{"family":"Ross","given":"Peter E."},{"family":"Axford","given":"Sophie E."},{"family":"Johnston","given":"Nikki"},{"family":"Gill","given":"Gulnaz A."},{"family":"Pearson","given":"Jeffrey P."},{"family":"Dettmar","given":"Peter W."},{"family":"Panetti","given":"Marguerite"},{"family":"Pignatelli","given":"Massimo"},{"family":"Koufman","given":"James A."}],"issued":{"date-parts":[["2003"]]}}}],"schema":"https://github.com/citation-style-language/schema/raw/master/csl-citation.json"} </w:instrText>
      </w:r>
      <w:r w:rsidRPr="005F0974">
        <w:rPr>
          <w:rFonts w:cstheme="minorHAnsi"/>
        </w:rPr>
        <w:fldChar w:fldCharType="separate"/>
      </w:r>
      <w:r w:rsidR="00DA7707" w:rsidRPr="00DA7707">
        <w:rPr>
          <w:rFonts w:ascii="Calibri" w:hAnsi="Calibri" w:cs="Calibri"/>
          <w:vertAlign w:val="superscript"/>
        </w:rPr>
        <w:t>236,237</w:t>
      </w:r>
      <w:r w:rsidRPr="005F0974">
        <w:rPr>
          <w:rFonts w:cstheme="minorHAnsi"/>
        </w:rPr>
        <w:fldChar w:fldCharType="end"/>
      </w:r>
      <w:r w:rsidRPr="005F0974">
        <w:rPr>
          <w:rFonts w:cstheme="minorHAnsi"/>
        </w:rPr>
        <w:t xml:space="preserve"> Disruptions in barrier integrity may result in the undesirable entry of environmental pathogens into the </w:t>
      </w:r>
      <w:r w:rsidR="00CC6A57">
        <w:rPr>
          <w:rFonts w:cstheme="minorHAnsi"/>
        </w:rPr>
        <w:t>VFs</w:t>
      </w:r>
      <w:r w:rsidRPr="005F0974">
        <w:rPr>
          <w:rFonts w:cstheme="minorHAnsi"/>
        </w:rPr>
        <w:t>, and the development of disease. Although e-cadherin has been localized throughout the VF epithelium of multiple species including human</w:t>
      </w:r>
      <w:r w:rsidR="000F22FE">
        <w:rPr>
          <w:rFonts w:cstheme="minorHAnsi"/>
        </w:rPr>
        <w:t>s</w:t>
      </w:r>
      <w:r w:rsidRPr="005F0974">
        <w:rPr>
          <w:rFonts w:cstheme="minorHAnsi"/>
        </w:rPr>
        <w:t xml:space="preserve">, it had not been localized until now in rabbit </w:t>
      </w:r>
      <w:r w:rsidR="005F3F10">
        <w:rPr>
          <w:rFonts w:cstheme="minorHAnsi"/>
        </w:rPr>
        <w:t>VFs</w:t>
      </w:r>
      <w:r w:rsidRPr="005F0974">
        <w:rPr>
          <w:rFonts w:cstheme="minorHAnsi"/>
        </w:rPr>
        <w:t>.</w:t>
      </w:r>
    </w:p>
    <w:p w14:paraId="154FAD38" w14:textId="6EA13F0A" w:rsidR="003E0821" w:rsidRDefault="00C152EE" w:rsidP="00266D25">
      <w:pPr>
        <w:pBdr>
          <w:top w:val="nil"/>
          <w:left w:val="nil"/>
          <w:bottom w:val="nil"/>
          <w:right w:val="nil"/>
          <w:between w:val="nil"/>
        </w:pBdr>
        <w:ind w:right="-14"/>
        <w:rPr>
          <w:rFonts w:cstheme="minorHAnsi"/>
        </w:rPr>
      </w:pPr>
      <w:r w:rsidRPr="005F0974">
        <w:rPr>
          <w:rFonts w:cstheme="minorHAnsi"/>
        </w:rPr>
        <w:t xml:space="preserve">The role of the </w:t>
      </w:r>
      <w:r w:rsidR="005F3F10">
        <w:rPr>
          <w:rFonts w:cstheme="minorHAnsi"/>
        </w:rPr>
        <w:t>TJ</w:t>
      </w:r>
      <w:r w:rsidRPr="005F0974">
        <w:rPr>
          <w:rFonts w:cstheme="minorHAnsi"/>
        </w:rPr>
        <w:t xml:space="preserve"> proteins</w:t>
      </w:r>
      <w:r w:rsidR="005F3F10">
        <w:rPr>
          <w:rFonts w:cstheme="minorHAnsi"/>
        </w:rPr>
        <w:t xml:space="preserve"> like</w:t>
      </w:r>
      <w:r w:rsidRPr="005F0974">
        <w:rPr>
          <w:rFonts w:cstheme="minorHAnsi"/>
        </w:rPr>
        <w:t xml:space="preserve"> ZO-1 and occludin is to </w:t>
      </w:r>
      <w:r w:rsidR="005F3F10">
        <w:rPr>
          <w:rFonts w:cstheme="minorHAnsi"/>
        </w:rPr>
        <w:t>facilitate</w:t>
      </w:r>
      <w:r w:rsidRPr="005F0974">
        <w:rPr>
          <w:rFonts w:cstheme="minorHAnsi"/>
        </w:rPr>
        <w:t xml:space="preserve"> intercellular signaling and adhere </w:t>
      </w:r>
      <w:r w:rsidR="000F22FE">
        <w:rPr>
          <w:rFonts w:cstheme="minorHAnsi"/>
        </w:rPr>
        <w:t xml:space="preserve">to </w:t>
      </w:r>
      <w:r w:rsidRPr="005F0974">
        <w:rPr>
          <w:rFonts w:cstheme="minorHAnsi"/>
        </w:rPr>
        <w:t>adjacent cells to create an effective barrier.</w:t>
      </w:r>
      <w:r w:rsidRPr="005F0974">
        <w:rPr>
          <w:rFonts w:cstheme="minorHAnsi"/>
          <w:color w:val="000000" w:themeColor="text1"/>
        </w:rPr>
        <w:fldChar w:fldCharType="begin"/>
      </w:r>
      <w:r w:rsidR="006E526E">
        <w:rPr>
          <w:rFonts w:cstheme="minorHAnsi"/>
          <w:color w:val="000000" w:themeColor="text1"/>
        </w:rPr>
        <w:instrText xml:space="preserve"> ADDIN ZOTERO_ITEM CSL_CITATION {"citationID":"CsS1zKBR","properties":{"formattedCitation":"\\super 28,29\\nosupersub{}","plainCitation":"28,29","noteIndex":0},"citationItems":[{"id":1965,"uris":["http://zotero.org/users/6281125/items/W85SLEAS"],"uri":["http://zotero.org/users/6281125/items/W85SLEAS"],"itemData":{"id":1965,"type":"article-journal","container-title":"Vascular Pharmacology","issue":"6","language":"en","page":"323-337","source":"Zotero","title":"Tight junctions of the blood–brain barrier: Development, composition and regulation","volume":"38","author":[{"family":"Wolburg","given":"Hartwig"},{"family":"Lippoldt","given":"Andrea"}],"issued":{"date-parts":[["2002"]]}}},{"id":2030,"uris":["http://zotero.org/users/6281125/items/QJ6ILWFQ"],"uri":["http://zotero.org/users/6281125/items/QJ6ILWFQ"],"itemData":{"id":2030,"type":"article-journal","abstract":"Belt-like tight junctions (TJs), referred to as zonula occludens, have long been regarded as a specialized differentiation of epithelial cell membranes. They are required for cell adhesion and paracellular barrier functions, and are now thought to be partly involved in fence functions and in cell polarization. Recently, the molecular bases of TJs have gradually been unveiled. TJs are constructed by TJ strands, whose basic frameworks are composed of integral membrane proteins with four transmembrane domains, designated claudins. The claudin family is supposedly composed of at least 24 members in mice and humans. Other types of integral membrane proteins with four transmembrane domains, namely occludin and tricellulin, as well as the single transmembrane proteins, JAMs (junctional adhesion molecules) and CAR (coxsackie and adenovirus receptor), are associated with TJ strands, and the high-level organization of TJ strands is likely to be established by membrane-anchored scaffolding proteins, such as ZO-1/2. Recent functional analyses of claudins in cell cultures and in mice have suggested that claudin-based TJs may have pivotal functions in the regulation of the epithelial microenvironment, which is critical for various biological functions such as control of cell proliferation. These represent the dawn of ‘Barriology’ (defined by Shoichiro Tsukita as the science of barriers in multicellular organisms). Taken together with recent reports regarding changes in claudin expression levels, understanding the regulation of the TJ-based microenvironment system will provide new insights into the regulation of polarization in the respect of epithelial microenvironment system and new viewpoints for developing anticancer strategies.","container-title":"Oncogene","DOI":"10.1038/onc.2008.344","ISSN":"1476-5594","issue":"55","language":"en","note":"number: 55\npublisher: Nature Publishing Group","page":"6930-6938","source":"www.nature.com","title":"Tight junction-based epithelial microenvironment and cell proliferation","volume":"27","author":[{"family":"Tsukita","given":"S."},{"family":"Yamazaki","given":"Y."},{"family":"Katsuno","given":"T."},{"family":"Tamura","given":"A."},{"family":"Tsukita","given":"S."}],"issued":{"date-parts":[["2008",11]]}}}],"schema":"https://github.com/citation-style-language/schema/raw/master/csl-citation.json"} </w:instrText>
      </w:r>
      <w:r w:rsidRPr="005F0974">
        <w:rPr>
          <w:rFonts w:cstheme="minorHAnsi"/>
          <w:color w:val="000000" w:themeColor="text1"/>
        </w:rPr>
        <w:fldChar w:fldCharType="separate"/>
      </w:r>
      <w:r w:rsidR="009C3F05" w:rsidRPr="005F0974">
        <w:rPr>
          <w:rFonts w:ascii="Calibri" w:hAnsi="Calibri" w:cs="Calibri"/>
          <w:vertAlign w:val="superscript"/>
        </w:rPr>
        <w:t>28,29</w:t>
      </w:r>
      <w:r w:rsidRPr="005F0974">
        <w:rPr>
          <w:rFonts w:cstheme="minorHAnsi"/>
          <w:color w:val="000000" w:themeColor="text1"/>
        </w:rPr>
        <w:fldChar w:fldCharType="end"/>
      </w:r>
      <w:r w:rsidRPr="005F0974">
        <w:rPr>
          <w:rFonts w:cstheme="minorHAnsi"/>
          <w:color w:val="000000" w:themeColor="text1"/>
        </w:rPr>
        <w:t xml:space="preserve"> The presence of these proteins in VF tissue has been described in rabbits</w:t>
      </w:r>
      <w:r w:rsidRPr="005F0974">
        <w:rPr>
          <w:rFonts w:cstheme="minorHAnsi"/>
          <w:color w:val="000000" w:themeColor="text1"/>
        </w:rPr>
        <w:fldChar w:fldCharType="begin"/>
      </w:r>
      <w:r w:rsidR="00DA7707">
        <w:rPr>
          <w:rFonts w:cstheme="minorHAnsi"/>
          <w:color w:val="000000" w:themeColor="text1"/>
        </w:rPr>
        <w:instrText xml:space="preserve"> ADDIN ZOTERO_ITEM CSL_CITATION {"citationID":"lLT8WNma","properties":{"formattedCitation":"\\super 31,238\\nosupersub{}","plainCitation":"31,238","noteIndex":0},"citationItems":[{"id":53,"uris":["http://zotero.org/users/6281125/items/6RCBNRHY"],"uri":["http://zotero.org/users/6281125/items/6RCBNRHY"],"itemData":{"id":53,"type":"article-journal","abstract":"Objectives/Hypothesis: We investigated the hypothesis that 30 minutes of raised intensity phonation alters transcript levels of vocal fold intercellular tight junction proteins and disrupts the vocal fold epithelial barrier. Study Design: Prospective animal study. Methods: Eighteen New Zealand white breeder rabbits were randomly assigned to receive 30 minutes of raised intensity phonation or approximation of the vocal folds without phonation. Quantitative polymerase chain reaction (qPCR) was used to investigate transcript levels of the epithelial intercellular tight junction proteins, occludin and zonula occludin-1 (ZO-1), and the adherens junction proteins β-catenin and E-cadherin. Structural alterations to the vocal fold epithelium were further examined by scanning electron microscopy (SEM) and transmission electron microscopy (TEM). Results: Mann-Whitney U revealed significantly decreased occludin (P =.016) and β-catenin (P =.016) gene expression from rabbits undergoing raised intensity phonation compared with control. There were no significant differences in Z0-1 and E-cadherin gene expression between groups (P \\textgreater.025). SEM revealed significant obliteration, desquamation, and evidence of microhole formation in rabbit vocal folds exposed to raised intensity phonation compared with control, whereas TEM revealed dilated intercellular morphology between groups. Conclusions: Results provide support for the hypothesis that a transient episode of raised intensity phonation alters transcript levels of vocal fold intercellular tight junction proteins and disrupts integrity of the epithelial barrier. The loss of barrier integrity may have significant consequences on epithelial defenses and compromise protection of the underlying mucosa from damage secondary to prolonged vibration exposure. © 2011 The American Laryngological, Rhinological, and Otological Society, Inc.","container-title":"Laryngoscope","DOI":"10.1002/lary.21364","ISSN":"0023852X","issue":"2","page":"346-351","title":"Raised intensity phonation compromises vocal fold epithelial barrier integrity","volume":"121","author":[{"family":"Rousseau","given":"Bernard"},{"family":"Suehiro","given":"Atsushi"},{"family":"Echemendia","given":"Nicholas"},{"family":"Sivasankar","given":"Mahalakshmi"}],"issued":{"date-parts":[["2011"]]}}},{"id":162,"uris":["http://zotero.org/users/6281125/items/F955NIU5"],"uri":["http://zotero.org/users/6281125/items/F955NIU5"],"itemData":{"id":162,"type":"article-journal","container-title":"The Laryngoscope","DOI":"10.1002/lary.24827","ISSN":"0023852X","issue":"12","page":"2770–2778","title":"Effects of phonation time and magnitude dose on vocal fold epithelial genes, barrier integrity, and function","volume":"124","author":[{"family":"Kojima","given":"Tsuyoshi"},{"family":"Valenzuela","given":"Carla V."},{"family":"Novaleski","given":"Carolyn K."},{"family":"Van Deusen","given":"Mark"},{"family":"Mitchell","given":"Joshua R."},{"family":"Garrett","given":"C. Gaelyn"},{"family":"Sivasankar","given":"M. Preeti"},{"family":"Rousseau","given":"Bernard"}],"issued":{"date-parts":[["2014",12]]}}}],"schema":"https://github.com/citation-style-language/schema/raw/master/csl-citation.json"} </w:instrText>
      </w:r>
      <w:r w:rsidRPr="005F0974">
        <w:rPr>
          <w:rFonts w:cstheme="minorHAnsi"/>
          <w:color w:val="000000" w:themeColor="text1"/>
        </w:rPr>
        <w:fldChar w:fldCharType="separate"/>
      </w:r>
      <w:r w:rsidR="00DA7707" w:rsidRPr="00DA7707">
        <w:rPr>
          <w:rFonts w:ascii="Calibri" w:hAnsi="Calibri" w:cs="Calibri"/>
          <w:vertAlign w:val="superscript"/>
        </w:rPr>
        <w:t>31,238</w:t>
      </w:r>
      <w:r w:rsidRPr="005F0974">
        <w:rPr>
          <w:rFonts w:cstheme="minorHAnsi"/>
          <w:color w:val="000000" w:themeColor="text1"/>
        </w:rPr>
        <w:fldChar w:fldCharType="end"/>
      </w:r>
      <w:r w:rsidRPr="005F0974">
        <w:rPr>
          <w:rFonts w:cstheme="minorHAnsi"/>
          <w:color w:val="000000" w:themeColor="text1"/>
        </w:rPr>
        <w:t xml:space="preserve"> pigs</w:t>
      </w:r>
      <w:r w:rsidR="009D2186" w:rsidRPr="005F0974">
        <w:rPr>
          <w:rFonts w:cstheme="minorHAnsi"/>
          <w:color w:val="000000" w:themeColor="text1"/>
        </w:rPr>
        <w:t>,</w:t>
      </w:r>
      <w:r w:rsidRPr="005F0974">
        <w:rPr>
          <w:rFonts w:cstheme="minorHAnsi"/>
          <w:color w:val="000000" w:themeColor="text1"/>
        </w:rPr>
        <w:fldChar w:fldCharType="begin"/>
      </w:r>
      <w:r w:rsidR="009C3F05" w:rsidRPr="005F0974">
        <w:rPr>
          <w:rFonts w:cstheme="minorHAnsi"/>
          <w:color w:val="000000" w:themeColor="text1"/>
        </w:rPr>
        <w:instrText xml:space="preserve"> ADDIN ZOTERO_ITEM CSL_CITATION {"citationID":"L70R9PlG","properties":{"formattedCitation":"\\super 30\\nosupersub{}","plainCitation":"30","noteIndex":0},"citationItems":[{"id":2037,"uris":["http://zotero.org/users/6281125/items/7NNXZSC9"],"uri":["http://zotero.org/users/6281125/items/7NNXZSC9"],"itemData":{"id":2037,"type":"article-journal","abstract":"Objective\nDehydration challenges can increase the chemical composition of surface fluid overlying vocal fold epithelia (hypertonic surface fluid). The vocal fold epithelium is posited to act as a barrier, shielding the lamina propria from perturbations in the airway lumen. However, the effects of hypertonic surface fluid on the barrier functions of vocal fold epithelia have not been quantified. We, therefore, sought to investigate whether hypertonic surface fluid compromises epithelial barrier function. We examined the effects of hypertonic surface fluid on vocal fold epithelial resistance, paracellular pathway morphology, and tight junction protein integrity.\n\nStudy Design\nEx vivo, between group design.\n\nSetting\nLaboratory.\n\nMethods\nPorcine vocal folds (n = 24) were exposed to hypertonic or isotonic challenge and examined by electrophysiology, transmission electron microscopy, and Western blot analyses.\n\nResults\nHypertonic, but not isotonic, challenge significantly reduced transepithelial resistance. This decrease in resistance was observed immediately after the challenge and was consistent with the appearance of dilated paracellular pathway morphology. However, hypertonic challenge did not alter protein levels of occludin, zona occludens-1, E-cadherin, or β-catenin.\n\nConclusion\nHypertonic surface fluid alters epithelial barrier function in the vocal folds. Specifically, exposure to hypertonic challenges increases epithelial permeability. Given the important role of the vocal fold epithelium in shielding the underlying mucosa from inhaled pathogens and pollutants, our data provide the impetus for future studies on pharmacological treatments aimed at restoring the hydration level and chemical composition of vocal fold surface fluid.","container-title":"Otolaryngology--head and neck surgery : official journal of American Academy of Otolaryngology-Head and Neck Surgery","DOI":"10.1016/j.otohns.2009.09.011","ISSN":"0194-5998","issue":"1","journalAbbreviation":"Otolaryngol Head Neck Surg","note":"PMID: 20096227\nPMCID: PMC2928222","page":"79-84","source":"PubMed Central","title":"Hypertonic challenge to porcine vocal folds: Effects on epithelial barrier function","title-short":"Hypertonic challenge to porcine vocal folds","volume":"142","author":[{"family":"Sivasankar","given":"Mahalakshmi"},{"family":"Erickson","given":"Elizabeth"},{"family":"Rosenblatt","given":"Mark"},{"family":"Branski","given":"Ryan C."}],"issued":{"date-parts":[["2010",1]]}}}],"schema":"https://github.com/citation-style-language/schema/raw/master/csl-citation.json"} </w:instrText>
      </w:r>
      <w:r w:rsidRPr="005F0974">
        <w:rPr>
          <w:rFonts w:cstheme="minorHAnsi"/>
          <w:color w:val="000000" w:themeColor="text1"/>
        </w:rPr>
        <w:fldChar w:fldCharType="separate"/>
      </w:r>
      <w:r w:rsidR="009C3F05" w:rsidRPr="005F0974">
        <w:rPr>
          <w:rFonts w:ascii="Calibri" w:hAnsi="Calibri" w:cs="Calibri"/>
          <w:vertAlign w:val="superscript"/>
        </w:rPr>
        <w:t>30</w:t>
      </w:r>
      <w:r w:rsidRPr="005F0974">
        <w:rPr>
          <w:rFonts w:cstheme="minorHAnsi"/>
          <w:color w:val="000000" w:themeColor="text1"/>
        </w:rPr>
        <w:fldChar w:fldCharType="end"/>
      </w:r>
      <w:r w:rsidRPr="005F0974">
        <w:rPr>
          <w:rFonts w:cstheme="minorHAnsi"/>
          <w:color w:val="000000" w:themeColor="text1"/>
        </w:rPr>
        <w:t xml:space="preserve"> and sheep</w:t>
      </w:r>
      <w:r w:rsidR="009D2186" w:rsidRPr="005F0974">
        <w:rPr>
          <w:rFonts w:cstheme="minorHAnsi"/>
          <w:color w:val="000000" w:themeColor="text1"/>
        </w:rPr>
        <w:t>,</w:t>
      </w:r>
      <w:r w:rsidRPr="005F0974">
        <w:rPr>
          <w:rFonts w:cstheme="minorHAnsi"/>
          <w:color w:val="000000" w:themeColor="text1"/>
        </w:rPr>
        <w:fldChar w:fldCharType="begin"/>
      </w:r>
      <w:r w:rsidR="00E940BB">
        <w:rPr>
          <w:rFonts w:cstheme="minorHAnsi"/>
          <w:color w:val="000000" w:themeColor="text1"/>
        </w:rPr>
        <w:instrText xml:space="preserve"> ADDIN ZOTERO_ITEM CSL_CITATION {"citationID":"D1DpEhvY","properties":{"formattedCitation":"\\super 32\\nosupersub{}","plainCitation":"32","noteIndex":0},"citationItems":[{"id":2041,"uris":["http://zotero.org/users/6281125/items/925BUJ39"],"uri":["http://zotero.org/users/6281125/items/925BUJ39"],"itemData":{"id":2041,"type":"article-journal","abstract":"Electrophysiological homeostasis is indispensable to vocal fold hydration. We investigate tight junction (TJ)-associated components, occludin and ZO-1, and permeability with or without the challenge of a permeability-augmenting agent, histamine. Freshly excised ovine larynges are obtained from a local abattoir. TJ markers are explored via reverse transcriptase polymerase chain reaction (RT-PCR). Paracellular permeabilities are measured in an Ussing system. The gene expression of both TJ markers is detected in native ovine vocal fold epithelium. Luminal histamine treatment significantly decreases transepithelial resistance (TER) (N = 72, p,0.01) and increases penetration of protein tracer (N = 35, p,0.001), respectively, in a time-, and dose-dependent fashion. The present study demonstrates that histamine compromises TJrelated paracellular barrier across vocal fold epithelium. The detection of TJ markers indicates the existence of typical TJ components in non-keratinized, stratified vocal fold epithelium. The responsiveness of paracellular permeabilities to histamine would highlight the functional significance of this TJ-equivalent system to the electrophysiological homeostasis, which, in turn, regulates the vocal fold superficial hydration.","container-title":"PLoS ONE","DOI":"10.1371/journal.pone.0034017","ISSN":"1932-6203","issue":"3","journalAbbreviation":"PLoS ONE","language":"en","page":"e34017","source":"DOI.org (Crossref)","title":"Tight junction-related barrier contributes to the electrophysiological asymmetry across vocal fold epithelium","volume":"7","author":[{"family":"Zhang","given":"Qianru"},{"family":"Fisher","given":"Kimberly"}],"editor":[{"family":"Deli","given":"Maria A."}],"issued":{"date-parts":[["2012",3,19]]}}}],"schema":"https://github.com/citation-style-language/schema/raw/master/csl-citation.json"} </w:instrText>
      </w:r>
      <w:r w:rsidRPr="005F0974">
        <w:rPr>
          <w:rFonts w:cstheme="minorHAnsi"/>
          <w:color w:val="000000" w:themeColor="text1"/>
        </w:rPr>
        <w:fldChar w:fldCharType="separate"/>
      </w:r>
      <w:r w:rsidR="009C3F05" w:rsidRPr="005F0974">
        <w:rPr>
          <w:rFonts w:ascii="Calibri" w:hAnsi="Calibri" w:cs="Calibri"/>
          <w:vertAlign w:val="superscript"/>
        </w:rPr>
        <w:t>32</w:t>
      </w:r>
      <w:r w:rsidRPr="005F0974">
        <w:rPr>
          <w:rFonts w:cstheme="minorHAnsi"/>
          <w:color w:val="000000" w:themeColor="text1"/>
        </w:rPr>
        <w:fldChar w:fldCharType="end"/>
      </w:r>
      <w:r w:rsidRPr="005F0974">
        <w:rPr>
          <w:rFonts w:cstheme="minorHAnsi"/>
          <w:color w:val="000000" w:themeColor="text1"/>
        </w:rPr>
        <w:t xml:space="preserve"> but the distribution of these proteins has only been localized to the epithelium of rat </w:t>
      </w:r>
      <w:r w:rsidR="005F3F10">
        <w:rPr>
          <w:rFonts w:cstheme="minorHAnsi"/>
          <w:color w:val="000000" w:themeColor="text1"/>
        </w:rPr>
        <w:t>VFs</w:t>
      </w:r>
      <w:r w:rsidRPr="005F0974">
        <w:rPr>
          <w:rFonts w:cstheme="minorHAnsi"/>
          <w:color w:val="000000" w:themeColor="text1"/>
        </w:rPr>
        <w:t>.</w:t>
      </w:r>
      <w:r w:rsidRPr="005F0974">
        <w:rPr>
          <w:rFonts w:cstheme="minorHAnsi"/>
          <w:color w:val="000000" w:themeColor="text1"/>
        </w:rPr>
        <w:fldChar w:fldCharType="begin"/>
      </w:r>
      <w:r w:rsidR="00DA7707">
        <w:rPr>
          <w:rFonts w:cstheme="minorHAnsi"/>
          <w:color w:val="000000" w:themeColor="text1"/>
        </w:rPr>
        <w:instrText xml:space="preserve"> ADDIN ZOTERO_ITEM CSL_CITATION {"citationID":"faM05pJC","properties":{"formattedCitation":"\\super 239\\nosupersub{}","plainCitation":"239","noteIndex":0},"citationItems":[{"id":2007,"uris":["http://zotero.org/users/6281125/items/BD7445BX"],"uri":["http://zotero.org/users/6281125/items/BD7445BX"],"itemData":{"id":2007,"type":"article-journal","abstract":"Objectives/Hypothesis The vocal fold epithelium that includes tight junction (TJ)-based barrier function protects underlying connective tissues from external insults. TJs play an important role to control paracellular permeability of not only solutes but also ions, and preserve the vocal fold homeostasis. However, the distribution of TJs and paracellular diffusion barrier across the entire vocal fold epithelium are still unknown. The aim of this study was to identify the distribution of TJs in the vocal fold epithelium and to characterize the recovery process of TJ-based paracellular diffusion barrier in a rat model of vocal fold injury. Study Design Animal experiments with controls. Methods Normal and vocal fold–injured rats were used. Larynges were harvested for immunohistochemical examination of TJ proteins. For functional analysis, a tracer permeability assay was performed using EZ-Link Sulfo-NHS-LC-Biotin. Results TJ proteins occludin and zonula occludens 1 signals were localized to the junctional regions of the most luminal cell layers of the vocal fold epithelium. The injured region had been recovered with epithelium at 5 days postinjury, but the paracellular diffusion barrier assays revealed that biotinylation reagents diffused into the lamina propria at 5 days postinjury, and were blocked at the epithelium at 14 and 28 days postinjury. Conclusions It was strongly suggested that TJs in the vocal fold epithelium exist at the junctional regions of the first layer of stratified squamous epithelium. TJ-based paracellular diffusion barrier following vocal fold injury is recovered by 14 days postinjury, and this period corresponds with the time course of structural changes in the regenerating epithelium layer. Level of Evidence NA. Laryngoscope, 128:E150–E156, 2018","container-title":"The Laryngoscope","DOI":"10.1002/lary.26959","ISSN":"1531-4995","issue":"4","language":"en","note":"_eprint: https://onlinelibrary.wiley.com/doi/pdf/10.1002/lary.26959","page":"E150-E156","source":"Wiley Online Library","title":"Process of tight junction recovery in the injured vocal fold epithelium: Morphological and paracellular permeability analysis","title-short":"Process of tight junction recovery in the injured vocal fold epithelium","volume":"128","author":[{"family":"Suzuki","given":"Ryo"},{"family":"Katsuno","given":"Tatsuya"},{"family":"Kishimoto","given":"Yo"},{"family":"Nakamura","given":"Ryosuke"},{"family":"Mizuta","given":"Masanobu"},{"family":"Suehiro","given":"Atsushi"},{"family":"Yamashita","given":"Masaru"},{"family":"Nakamura","given":"Tatsuo"},{"family":"Tateya","given":"Ichiro"},{"family":"Omori","given":"Koichi"}],"issued":{"date-parts":[["2018"]]}}}],"schema":"https://github.com/citation-style-language/schema/raw/master/csl-citation.json"} </w:instrText>
      </w:r>
      <w:r w:rsidRPr="005F0974">
        <w:rPr>
          <w:rFonts w:cstheme="minorHAnsi"/>
          <w:color w:val="000000" w:themeColor="text1"/>
        </w:rPr>
        <w:fldChar w:fldCharType="separate"/>
      </w:r>
      <w:r w:rsidR="00DA7707" w:rsidRPr="00DA7707">
        <w:rPr>
          <w:rFonts w:ascii="Calibri" w:hAnsi="Calibri" w:cs="Calibri"/>
          <w:vertAlign w:val="superscript"/>
        </w:rPr>
        <w:t>239</w:t>
      </w:r>
      <w:r w:rsidRPr="005F0974">
        <w:rPr>
          <w:rFonts w:cstheme="minorHAnsi"/>
          <w:color w:val="000000" w:themeColor="text1"/>
        </w:rPr>
        <w:fldChar w:fldCharType="end"/>
      </w:r>
      <w:r w:rsidRPr="005F0974">
        <w:rPr>
          <w:rFonts w:cstheme="minorHAnsi"/>
        </w:rPr>
        <w:t xml:space="preserve"> Similar to these findings in rats, our study </w:t>
      </w:r>
      <w:r w:rsidRPr="009440AF">
        <w:rPr>
          <w:rFonts w:cstheme="minorHAnsi"/>
        </w:rPr>
        <w:t>found that ZO-1 and occludin were localized to the rabbit and human epithelium. There was also substantial ZO-1 labeling in the superficial LP of both species</w:t>
      </w:r>
      <w:r w:rsidR="00180D12" w:rsidRPr="009440AF">
        <w:rPr>
          <w:rFonts w:cstheme="minorHAnsi"/>
        </w:rPr>
        <w:t>, likely due to their presence in endothelial cells</w:t>
      </w:r>
      <w:r w:rsidR="00D45D87" w:rsidRPr="009440AF">
        <w:rPr>
          <w:rFonts w:cstheme="minorHAnsi"/>
        </w:rPr>
        <w:t>.</w:t>
      </w:r>
      <w:r w:rsidR="00DC2A26" w:rsidRPr="009440AF">
        <w:rPr>
          <w:rFonts w:cstheme="minorHAnsi"/>
        </w:rPr>
        <w:fldChar w:fldCharType="begin"/>
      </w:r>
      <w:r w:rsidR="00DA7707">
        <w:rPr>
          <w:rFonts w:cstheme="minorHAnsi"/>
        </w:rPr>
        <w:instrText xml:space="preserve"> ADDIN ZOTERO_ITEM CSL_CITATION {"citationID":"kE9b76Dx","properties":{"formattedCitation":"\\super 28,240(p1)\\nosupersub{}","plainCitation":"28,240(p1)","noteIndex":0},"citationItems":[{"id":1973,"uris":["http://zotero.org/users/6281125/items/JDSP6QGB"],"uri":["http://zotero.org/users/6281125/items/JDSP6QGB"],"itemData":{"id":1973,"type":"article-journal","abstract":"Blood-tumor barrier (BTB) constitutes an efficient organization of tight junctions which significantly reduce permeability for chemotherapy drugs. Krüppel-like factor 4 (KLF4), a member of the Krüppel-like family, has been documented in endothelial cells and may serve as an essential regulator of endothelial barrier function. However, our knowledge about the expression and function of KLF4 in the endothelial cells of BTB still remains unclear. In this study, we sought to investigate the role of KLF4 in regulation of BTB function as well as the potential molecular mechanisms. Quantitative RT-PCR, Western blot, and immunofluorescence assays demonstrated that KLF4 was down-regulated in the glioma endothelial cells (GECs) which were obtained through endothelial cells co-cultured with glioma cells. Short hairpin RNA targeting KLF4 impaired the integrity of BTB detected by trans-endothelial electric resistance assay, and meanwhile reduced the expression of ZO-1, occludin and claudin-5, demonstrated by quantitative RT-PCR, Western blot, and immunofluorescence assays. Depletion of KLF4 increased BTB permeability to small molecules detected by permeability assays. Furthermore, luciferase assays and chromatin immunoprecipitation assays showed that KLF4 up-regulated the promoter activities and interacted with “CACCC” DNA sequence presented in the promoters of ZO-1, occludin, and claudin-5. GATA-1, GATA-6, Sp1, and Sp3 factors participated in KLF4 regulation of promoter activities through binding to the promoters of tight junctions related proteins. Collectively, our results indicated that KLF4 is a key transcriptional regulator of BTB function by regulating expressions of tight junction related proteins, which would draw growing attention to KLF4 as a potential target for glioma therapy. J. Cell. Physiol. 229: 916–926, 2014. © 2013 Wiley Periodicals, Inc.","container-title":"Journal of Cellular Physiology","DOI":"10.1002/jcp.24523","ISSN":"1097-4652","issue":"7","language":"en","note":"_eprint: https://onlinelibrary.wiley.com/doi/pdf/10.1002/jcp.24523","page":"916-926","source":"Wiley Online Library","title":"Krüppel-Like Factor 4 Regulates Blood-Tumor Barrier Permeability via ZO-1, Occludin and Claudin-5","volume":"229","author":[{"family":"Ma","given":"Jun"},{"family":"Wang","given":"Ping"},{"family":"Liu","given":"Yunhui"},{"family":"Zhao","given":"Lini"},{"family":"Li","given":"Zhen"},{"family":"Xue","given":"Yixue"}],"issued":{"date-parts":[["2014"]]}},"locator":"-1"},{"id":1965,"uris":["http://zotero.org/users/6281125/items/W85SLEAS"],"uri":["http://zotero.org/users/6281125/items/W85SLEAS"],"itemData":{"id":1965,"type":"article-journal","container-title":"Vascular Pharmacology","issue":"6","language":"en","page":"323-337","source":"Zotero","title":"Tight junctions of the blood–brain barrier: Development, composition and regulation","volume":"38","author":[{"family":"Wolburg","given":"Hartwig"},{"family":"Lippoldt","given":"Andrea"}],"issued":{"date-parts":[["2002"]]}}}],"schema":"https://github.com/citation-style-language/schema/raw/master/csl-citation.json"} </w:instrText>
      </w:r>
      <w:r w:rsidR="00DC2A26" w:rsidRPr="009440AF">
        <w:rPr>
          <w:rFonts w:cstheme="minorHAnsi"/>
        </w:rPr>
        <w:fldChar w:fldCharType="separate"/>
      </w:r>
      <w:r w:rsidR="00DA7707" w:rsidRPr="00DA7707">
        <w:rPr>
          <w:vertAlign w:val="superscript"/>
        </w:rPr>
        <w:t>28,240(p1)</w:t>
      </w:r>
      <w:r w:rsidR="00DC2A26" w:rsidRPr="009440AF">
        <w:rPr>
          <w:rFonts w:cstheme="minorHAnsi"/>
        </w:rPr>
        <w:fldChar w:fldCharType="end"/>
      </w:r>
      <w:r w:rsidR="00D45D87" w:rsidRPr="009440AF">
        <w:rPr>
          <w:rFonts w:cstheme="minorHAnsi"/>
        </w:rPr>
        <w:t xml:space="preserve"> There was </w:t>
      </w:r>
      <w:r w:rsidRPr="009440AF">
        <w:rPr>
          <w:rFonts w:cstheme="minorHAnsi"/>
        </w:rPr>
        <w:t xml:space="preserve">only substantial occludin labeling in the superficial LP </w:t>
      </w:r>
      <w:r w:rsidR="009440AF">
        <w:rPr>
          <w:rFonts w:cstheme="minorHAnsi"/>
        </w:rPr>
        <w:t>in</w:t>
      </w:r>
      <w:r w:rsidRPr="009440AF">
        <w:rPr>
          <w:rFonts w:cstheme="minorHAnsi"/>
        </w:rPr>
        <w:t xml:space="preserve"> rabbit samples</w:t>
      </w:r>
      <w:r w:rsidR="00EF26D4" w:rsidRPr="009440AF">
        <w:rPr>
          <w:rFonts w:cstheme="minorHAnsi"/>
        </w:rPr>
        <w:t>,</w:t>
      </w:r>
      <w:r w:rsidR="00D45D87" w:rsidRPr="009440AF">
        <w:rPr>
          <w:rFonts w:cstheme="minorHAnsi"/>
        </w:rPr>
        <w:t xml:space="preserve"> </w:t>
      </w:r>
      <w:r w:rsidR="00EF26D4" w:rsidRPr="009440AF">
        <w:rPr>
          <w:rFonts w:cstheme="minorHAnsi"/>
        </w:rPr>
        <w:t>possibly due to</w:t>
      </w:r>
      <w:r w:rsidR="004358F4" w:rsidRPr="009440AF">
        <w:rPr>
          <w:rFonts w:cstheme="minorHAnsi"/>
        </w:rPr>
        <w:t xml:space="preserve"> inherent differences in </w:t>
      </w:r>
      <w:r w:rsidR="00426007" w:rsidRPr="009440AF">
        <w:rPr>
          <w:rFonts w:cstheme="minorHAnsi"/>
        </w:rPr>
        <w:t xml:space="preserve">the </w:t>
      </w:r>
      <w:r w:rsidR="002C7AC9" w:rsidRPr="009440AF">
        <w:rPr>
          <w:rFonts w:cstheme="minorHAnsi"/>
        </w:rPr>
        <w:t>layered</w:t>
      </w:r>
      <w:r w:rsidR="004358F4" w:rsidRPr="009440AF">
        <w:rPr>
          <w:rFonts w:cstheme="minorHAnsi"/>
        </w:rPr>
        <w:t xml:space="preserve"> LP structure between species and subs</w:t>
      </w:r>
      <w:r w:rsidR="00AD155A" w:rsidRPr="009440AF">
        <w:rPr>
          <w:rFonts w:cstheme="minorHAnsi"/>
        </w:rPr>
        <w:t>e</w:t>
      </w:r>
      <w:r w:rsidR="004358F4" w:rsidRPr="009440AF">
        <w:rPr>
          <w:rFonts w:cstheme="minorHAnsi"/>
        </w:rPr>
        <w:t>quent distribution of blood vessels</w:t>
      </w:r>
      <w:r w:rsidRPr="009440AF">
        <w:rPr>
          <w:rFonts w:cstheme="minorHAnsi"/>
        </w:rPr>
        <w:t>.</w:t>
      </w:r>
      <w:r w:rsidRPr="005F0974">
        <w:rPr>
          <w:rFonts w:cstheme="minorHAnsi"/>
        </w:rPr>
        <w:t xml:space="preserve"> </w:t>
      </w:r>
    </w:p>
    <w:p w14:paraId="16CA0E4E" w14:textId="386188FF" w:rsidR="008D6542" w:rsidRDefault="008D6542" w:rsidP="005A425B">
      <w:pPr>
        <w:pBdr>
          <w:top w:val="nil"/>
          <w:left w:val="nil"/>
          <w:bottom w:val="nil"/>
          <w:right w:val="nil"/>
          <w:between w:val="nil"/>
        </w:pBdr>
        <w:ind w:right="-14"/>
        <w:rPr>
          <w:rFonts w:cstheme="minorHAnsi"/>
        </w:rPr>
      </w:pPr>
      <w:bookmarkStart w:id="120" w:name="_Hlk86131182"/>
      <w:r w:rsidRPr="002E5426">
        <w:rPr>
          <w:rFonts w:cstheme="minorHAnsi"/>
        </w:rPr>
        <w:t xml:space="preserve">The </w:t>
      </w:r>
      <w:bookmarkStart w:id="121" w:name="_Hlk86131143"/>
      <w:r w:rsidRPr="002E5426">
        <w:rPr>
          <w:rFonts w:cstheme="minorHAnsi"/>
        </w:rPr>
        <w:t xml:space="preserve">disparity of </w:t>
      </w:r>
      <w:r w:rsidR="001044FF" w:rsidRPr="002E5426">
        <w:rPr>
          <w:rFonts w:cstheme="minorHAnsi"/>
        </w:rPr>
        <w:t>specific</w:t>
      </w:r>
      <w:r w:rsidRPr="002E5426">
        <w:rPr>
          <w:rFonts w:cstheme="minorHAnsi"/>
        </w:rPr>
        <w:t xml:space="preserve"> protein labeling in matching structures within species may </w:t>
      </w:r>
      <w:bookmarkEnd w:id="121"/>
      <w:r w:rsidRPr="002E5426">
        <w:rPr>
          <w:rFonts w:cstheme="minorHAnsi"/>
        </w:rPr>
        <w:t xml:space="preserve">be due to </w:t>
      </w:r>
      <w:r w:rsidR="009A3317" w:rsidRPr="002E5426">
        <w:rPr>
          <w:rFonts w:cstheme="minorHAnsi"/>
        </w:rPr>
        <w:t xml:space="preserve">the </w:t>
      </w:r>
      <w:r w:rsidRPr="002E5426">
        <w:rPr>
          <w:rFonts w:cstheme="minorHAnsi"/>
        </w:rPr>
        <w:t xml:space="preserve">heterogeneity between VF tissue in both human and rabbit samples used in this study. For example, humans are inherently genetically diverse, and information regarding </w:t>
      </w:r>
      <w:r w:rsidR="009A3317" w:rsidRPr="002E5426">
        <w:rPr>
          <w:rFonts w:cstheme="minorHAnsi"/>
        </w:rPr>
        <w:t xml:space="preserve">previous </w:t>
      </w:r>
      <w:r w:rsidRPr="002E5426">
        <w:rPr>
          <w:rFonts w:cstheme="minorHAnsi"/>
        </w:rPr>
        <w:t>voice use and preexisting pathologies in our acquired human samples was nonexistent. Additionally, our rabbit samples were not from homogeneous inbred colonies, but rather from genetically diverse outbred stocks.</w:t>
      </w:r>
      <w:r>
        <w:rPr>
          <w:rFonts w:cstheme="minorHAnsi"/>
        </w:rPr>
        <w:t xml:space="preserve"> </w:t>
      </w:r>
    </w:p>
    <w:bookmarkEnd w:id="120"/>
    <w:p w14:paraId="013EC117" w14:textId="45ACF1EE" w:rsidR="00707F50" w:rsidRDefault="002214A4" w:rsidP="005A425B">
      <w:pPr>
        <w:pBdr>
          <w:top w:val="nil"/>
          <w:left w:val="nil"/>
          <w:bottom w:val="nil"/>
          <w:right w:val="nil"/>
          <w:between w:val="nil"/>
        </w:pBdr>
        <w:ind w:right="-14"/>
        <w:rPr>
          <w:rFonts w:cstheme="minorHAnsi"/>
        </w:rPr>
      </w:pPr>
      <w:r>
        <w:rPr>
          <w:rFonts w:cstheme="minorHAnsi"/>
        </w:rPr>
        <w:t xml:space="preserve">On the whole, similarities in </w:t>
      </w:r>
      <w:r w:rsidR="00950EC0">
        <w:rPr>
          <w:rFonts w:cstheme="minorHAnsi"/>
        </w:rPr>
        <w:t xml:space="preserve">these integral membrane proteins </w:t>
      </w:r>
      <w:r w:rsidR="00950EC0" w:rsidRPr="005F0974">
        <w:rPr>
          <w:rFonts w:cstheme="minorHAnsi"/>
        </w:rPr>
        <w:t>provide an opportunity to further investigate the role and function of these proteins following experimentally induced challenges that might otherwise be difficult to perform in humans</w:t>
      </w:r>
      <w:r w:rsidR="00950EC0">
        <w:rPr>
          <w:rFonts w:cstheme="minorHAnsi"/>
        </w:rPr>
        <w:t xml:space="preserve">. These experiments </w:t>
      </w:r>
      <w:r w:rsidR="006C7D42">
        <w:rPr>
          <w:rFonts w:cstheme="minorHAnsi"/>
        </w:rPr>
        <w:t xml:space="preserve">may include exploring the effects of </w:t>
      </w:r>
      <w:r w:rsidR="006C7D42" w:rsidRPr="005F0974">
        <w:rPr>
          <w:rFonts w:cstheme="minorHAnsi"/>
        </w:rPr>
        <w:t>therapeutic drug</w:t>
      </w:r>
      <w:r w:rsidR="000F22FE">
        <w:rPr>
          <w:rFonts w:cstheme="minorHAnsi"/>
        </w:rPr>
        <w:t xml:space="preserve">s </w:t>
      </w:r>
      <w:r w:rsidR="006C7D42">
        <w:rPr>
          <w:rFonts w:cstheme="minorHAnsi"/>
        </w:rPr>
        <w:t>such as GCs</w:t>
      </w:r>
      <w:r w:rsidR="006C7D42" w:rsidRPr="005F0974">
        <w:rPr>
          <w:rFonts w:cstheme="minorHAnsi"/>
        </w:rPr>
        <w:t>, phonotrauma, and iatrogenic injury on VF barrier integrity</w:t>
      </w:r>
      <w:r w:rsidR="006C7D42">
        <w:rPr>
          <w:rFonts w:cstheme="minorHAnsi"/>
        </w:rPr>
        <w:t xml:space="preserve"> and ion transport. </w:t>
      </w:r>
      <w:r w:rsidR="006C7D42" w:rsidRPr="00B01407">
        <w:rPr>
          <w:rFonts w:cstheme="minorHAnsi"/>
        </w:rPr>
        <w:t xml:space="preserve">Unpublished data in our laboratory </w:t>
      </w:r>
      <w:r w:rsidR="00B86645" w:rsidRPr="00B01407">
        <w:rPr>
          <w:rFonts w:cstheme="minorHAnsi"/>
        </w:rPr>
        <w:t>revealed dose</w:t>
      </w:r>
      <w:r w:rsidR="000F22FE">
        <w:rPr>
          <w:rFonts w:cstheme="minorHAnsi"/>
        </w:rPr>
        <w:t>-</w:t>
      </w:r>
      <w:r w:rsidR="00B86645" w:rsidRPr="00B01407">
        <w:rPr>
          <w:rFonts w:cstheme="minorHAnsi"/>
        </w:rPr>
        <w:t>dependent</w:t>
      </w:r>
      <w:r w:rsidR="00781C0C" w:rsidRPr="00B01407">
        <w:rPr>
          <w:rFonts w:cstheme="minorHAnsi"/>
        </w:rPr>
        <w:t xml:space="preserve"> increases in e-cadherin</w:t>
      </w:r>
      <w:r w:rsidR="00C62CD9" w:rsidRPr="00B01407">
        <w:rPr>
          <w:rFonts w:cstheme="minorHAnsi"/>
        </w:rPr>
        <w:t xml:space="preserve"> labeling</w:t>
      </w:r>
      <w:r w:rsidR="00781C0C" w:rsidRPr="00B01407">
        <w:rPr>
          <w:rFonts w:cstheme="minorHAnsi"/>
        </w:rPr>
        <w:t xml:space="preserve"> </w:t>
      </w:r>
      <w:r w:rsidR="00B86645" w:rsidRPr="00B01407">
        <w:rPr>
          <w:rFonts w:cstheme="minorHAnsi"/>
        </w:rPr>
        <w:t xml:space="preserve">in </w:t>
      </w:r>
      <w:r w:rsidR="001F37D1" w:rsidRPr="00B01407">
        <w:rPr>
          <w:rFonts w:cstheme="minorHAnsi"/>
        </w:rPr>
        <w:t>hu</w:t>
      </w:r>
      <w:r w:rsidR="003A12CC" w:rsidRPr="00B01407">
        <w:rPr>
          <w:rFonts w:cstheme="minorHAnsi"/>
        </w:rPr>
        <w:t xml:space="preserve">man and rabbit </w:t>
      </w:r>
      <w:r w:rsidR="00B86645" w:rsidRPr="00B01407">
        <w:rPr>
          <w:rFonts w:cstheme="minorHAnsi"/>
        </w:rPr>
        <w:t>cultured VF epithelial cells</w:t>
      </w:r>
      <w:r w:rsidR="00C62CD9">
        <w:rPr>
          <w:rFonts w:cstheme="minorHAnsi"/>
        </w:rPr>
        <w:t xml:space="preserve"> after dexamethasone treatment and </w:t>
      </w:r>
      <w:r w:rsidR="00A3221C">
        <w:rPr>
          <w:rFonts w:cstheme="minorHAnsi"/>
        </w:rPr>
        <w:t>dose</w:t>
      </w:r>
      <w:r w:rsidR="000F22FE">
        <w:rPr>
          <w:rFonts w:cstheme="minorHAnsi"/>
        </w:rPr>
        <w:t>-</w:t>
      </w:r>
      <w:r w:rsidR="00A3221C">
        <w:rPr>
          <w:rFonts w:cstheme="minorHAnsi"/>
        </w:rPr>
        <w:t xml:space="preserve">dependent </w:t>
      </w:r>
      <w:r w:rsidR="00C62CD9">
        <w:rPr>
          <w:rFonts w:cstheme="minorHAnsi"/>
        </w:rPr>
        <w:t xml:space="preserve">decreases in ZO-1 and trans-electrical epithelial resistance (TEER) after </w:t>
      </w:r>
      <w:r w:rsidR="00A3221C">
        <w:rPr>
          <w:rFonts w:cstheme="minorHAnsi"/>
        </w:rPr>
        <w:t>methylprednisolone treatment</w:t>
      </w:r>
      <w:r w:rsidR="00C9495B">
        <w:rPr>
          <w:rFonts w:cstheme="minorHAnsi"/>
        </w:rPr>
        <w:t>, indicating improved barrier function</w:t>
      </w:r>
      <w:r w:rsidR="00A3221C">
        <w:rPr>
          <w:rFonts w:cstheme="minorHAnsi"/>
        </w:rPr>
        <w:t>.</w:t>
      </w:r>
      <w:r w:rsidR="007B7517">
        <w:rPr>
          <w:rFonts w:cstheme="minorHAnsi"/>
        </w:rPr>
        <w:t xml:space="preserve"> </w:t>
      </w:r>
      <w:r w:rsidR="00DC755D">
        <w:rPr>
          <w:rFonts w:cstheme="minorHAnsi"/>
        </w:rPr>
        <w:t>Regarding</w:t>
      </w:r>
      <w:r w:rsidR="00C84D19">
        <w:rPr>
          <w:rFonts w:cstheme="minorHAnsi"/>
        </w:rPr>
        <w:t xml:space="preserve"> </w:t>
      </w:r>
      <w:r w:rsidR="00C84D19" w:rsidRPr="00DC755D">
        <w:rPr>
          <w:rFonts w:cstheme="minorHAnsi"/>
          <w:i/>
          <w:iCs/>
        </w:rPr>
        <w:t>in-vivo</w:t>
      </w:r>
      <w:r w:rsidR="00C84D19">
        <w:rPr>
          <w:rFonts w:cstheme="minorHAnsi"/>
        </w:rPr>
        <w:t xml:space="preserve"> studies in our </w:t>
      </w:r>
      <w:r w:rsidR="00DC755D">
        <w:rPr>
          <w:rFonts w:cstheme="minorHAnsi"/>
        </w:rPr>
        <w:t>la</w:t>
      </w:r>
      <w:r w:rsidR="00C84D19">
        <w:rPr>
          <w:rFonts w:cstheme="minorHAnsi"/>
        </w:rPr>
        <w:t>boratory</w:t>
      </w:r>
      <w:r w:rsidR="007B7517">
        <w:rPr>
          <w:rFonts w:cstheme="minorHAnsi"/>
        </w:rPr>
        <w:t>, rabbits treated with 6</w:t>
      </w:r>
      <w:r w:rsidR="00CC457D">
        <w:rPr>
          <w:rFonts w:cstheme="minorHAnsi"/>
        </w:rPr>
        <w:t>-</w:t>
      </w:r>
      <w:r w:rsidR="007B7517">
        <w:rPr>
          <w:rFonts w:cstheme="minorHAnsi"/>
        </w:rPr>
        <w:t xml:space="preserve">daily </w:t>
      </w:r>
      <w:r w:rsidR="00CC457D">
        <w:rPr>
          <w:rFonts w:cstheme="minorHAnsi"/>
        </w:rPr>
        <w:t xml:space="preserve">intramuscular </w:t>
      </w:r>
      <w:r w:rsidR="007B7517">
        <w:rPr>
          <w:rFonts w:cstheme="minorHAnsi"/>
        </w:rPr>
        <w:t xml:space="preserve">injections of dexamethasone revealed no changes in AQP-1, </w:t>
      </w:r>
      <w:r w:rsidR="00575BD1" w:rsidRPr="005F0974">
        <w:rPr>
          <w:rFonts w:cstheme="minorHAnsi"/>
        </w:rPr>
        <w:t>Na+/K+-ATPase</w:t>
      </w:r>
      <w:r w:rsidR="00575BD1">
        <w:rPr>
          <w:rFonts w:cstheme="minorHAnsi"/>
        </w:rPr>
        <w:t xml:space="preserve">, </w:t>
      </w:r>
      <w:r w:rsidR="007B7517">
        <w:rPr>
          <w:rFonts w:cstheme="minorHAnsi"/>
        </w:rPr>
        <w:t>ZO-1</w:t>
      </w:r>
      <w:r w:rsidR="005B3CE2">
        <w:rPr>
          <w:rFonts w:cstheme="minorHAnsi"/>
        </w:rPr>
        <w:t xml:space="preserve">, </w:t>
      </w:r>
      <w:r w:rsidR="00575BD1">
        <w:rPr>
          <w:rFonts w:cstheme="minorHAnsi"/>
        </w:rPr>
        <w:t xml:space="preserve">and </w:t>
      </w:r>
      <w:r w:rsidR="005B3CE2">
        <w:rPr>
          <w:rFonts w:cstheme="minorHAnsi"/>
        </w:rPr>
        <w:t>occludin</w:t>
      </w:r>
      <w:r w:rsidR="005A425B">
        <w:rPr>
          <w:rFonts w:cstheme="minorHAnsi"/>
        </w:rPr>
        <w:t xml:space="preserve"> fluorescence expression</w:t>
      </w:r>
      <w:r w:rsidR="00F97A10">
        <w:rPr>
          <w:rFonts w:cstheme="minorHAnsi"/>
        </w:rPr>
        <w:t xml:space="preserve"> 14-days after injections were terminated.</w:t>
      </w:r>
      <w:r w:rsidR="005A425B">
        <w:rPr>
          <w:rFonts w:cstheme="minorHAnsi"/>
        </w:rPr>
        <w:t xml:space="preserve"> Similarly, </w:t>
      </w:r>
      <w:r w:rsidR="00F97A10">
        <w:rPr>
          <w:rFonts w:cstheme="minorHAnsi"/>
        </w:rPr>
        <w:t xml:space="preserve">rabbits receiving the same treatment regimen of </w:t>
      </w:r>
      <w:r w:rsidR="005A425B">
        <w:rPr>
          <w:rFonts w:cstheme="minorHAnsi"/>
        </w:rPr>
        <w:t>methylprednisolone</w:t>
      </w:r>
      <w:r w:rsidR="00F97A10">
        <w:rPr>
          <w:rFonts w:cstheme="minorHAnsi"/>
        </w:rPr>
        <w:t xml:space="preserve"> </w:t>
      </w:r>
      <w:r w:rsidR="00CF3255">
        <w:rPr>
          <w:rFonts w:cstheme="minorHAnsi"/>
        </w:rPr>
        <w:t>revealed</w:t>
      </w:r>
      <w:r w:rsidR="005A425B">
        <w:rPr>
          <w:rFonts w:cstheme="minorHAnsi"/>
        </w:rPr>
        <w:t xml:space="preserve"> no changes in AQP-1, </w:t>
      </w:r>
      <w:r w:rsidR="005A425B" w:rsidRPr="005F0974">
        <w:rPr>
          <w:rFonts w:cstheme="minorHAnsi"/>
        </w:rPr>
        <w:t>Na+/K+-ATPase</w:t>
      </w:r>
      <w:r w:rsidR="005A425B">
        <w:rPr>
          <w:rFonts w:cstheme="minorHAnsi"/>
        </w:rPr>
        <w:t>, and occludin fluorescence</w:t>
      </w:r>
      <w:r w:rsidR="00A418D0">
        <w:rPr>
          <w:rFonts w:cstheme="minorHAnsi"/>
        </w:rPr>
        <w:t xml:space="preserve"> </w:t>
      </w:r>
      <w:r w:rsidR="005A425B">
        <w:rPr>
          <w:rFonts w:cstheme="minorHAnsi"/>
        </w:rPr>
        <w:t>expression</w:t>
      </w:r>
      <w:r w:rsidR="00416466">
        <w:rPr>
          <w:rFonts w:cstheme="minorHAnsi"/>
        </w:rPr>
        <w:t xml:space="preserve">, but did show decreases in ZO-1 </w:t>
      </w:r>
      <w:r w:rsidR="00C66443">
        <w:rPr>
          <w:rFonts w:cstheme="minorHAnsi"/>
        </w:rPr>
        <w:t xml:space="preserve">fluorescence and </w:t>
      </w:r>
      <w:r w:rsidR="00C66443" w:rsidRPr="003D7A1A">
        <w:rPr>
          <w:rFonts w:cstheme="minorHAnsi"/>
        </w:rPr>
        <w:t>tjp-1</w:t>
      </w:r>
      <w:r w:rsidR="00070085">
        <w:rPr>
          <w:rFonts w:cstheme="minorHAnsi"/>
        </w:rPr>
        <w:t xml:space="preserve"> </w:t>
      </w:r>
      <w:r w:rsidR="00C66443">
        <w:rPr>
          <w:rFonts w:cstheme="minorHAnsi"/>
        </w:rPr>
        <w:t xml:space="preserve">gene </w:t>
      </w:r>
      <w:r w:rsidR="00416466">
        <w:rPr>
          <w:rFonts w:cstheme="minorHAnsi"/>
        </w:rPr>
        <w:t>expression</w:t>
      </w:r>
      <w:r w:rsidR="00070085">
        <w:rPr>
          <w:rFonts w:cstheme="minorHAnsi"/>
        </w:rPr>
        <w:t>, indicating the possibility of compromised barrier integrity following methylprednisolone treatment.</w:t>
      </w:r>
    </w:p>
    <w:p w14:paraId="7DD10709" w14:textId="088CB4AD" w:rsidR="00266D25" w:rsidRDefault="00266D25" w:rsidP="00266D25">
      <w:pPr>
        <w:pStyle w:val="Heading2"/>
      </w:pPr>
      <w:bookmarkStart w:id="122" w:name="_Toc88218567"/>
      <w:r w:rsidRPr="00266D25">
        <w:t>Acute Effects of Daily Intramuscular GC Treatment on Rabbit Vocal Folds</w:t>
      </w:r>
      <w:bookmarkEnd w:id="122"/>
    </w:p>
    <w:p w14:paraId="5A70A0E1" w14:textId="64CFF2E2" w:rsidR="00266D25" w:rsidRDefault="00266D25" w:rsidP="00266D25">
      <w:pPr>
        <w:rPr>
          <w:color w:val="000000" w:themeColor="text1"/>
        </w:rPr>
      </w:pPr>
      <w:r w:rsidRPr="00BC6BBD">
        <w:rPr>
          <w:color w:val="000000" w:themeColor="text1"/>
        </w:rPr>
        <w:t xml:space="preserve">Due to the frequent off-label use of GCs to treat a variety of voice disorders, it is critical to characterize and delineate GC effects in healthy </w:t>
      </w:r>
      <w:r>
        <w:rPr>
          <w:color w:val="000000" w:themeColor="text1"/>
        </w:rPr>
        <w:t>VF</w:t>
      </w:r>
      <w:r w:rsidRPr="00BC6BBD">
        <w:rPr>
          <w:color w:val="000000" w:themeColor="text1"/>
        </w:rPr>
        <w:t xml:space="preserve"> tissue to provide insight regarding the utility of dexamethasone and methylprednisolone to improve clinical outcomes and </w:t>
      </w:r>
      <w:r>
        <w:rPr>
          <w:color w:val="000000" w:themeColor="text1"/>
        </w:rPr>
        <w:t xml:space="preserve">to </w:t>
      </w:r>
      <w:r w:rsidRPr="00BC6BBD">
        <w:rPr>
          <w:color w:val="000000" w:themeColor="text1"/>
        </w:rPr>
        <w:t>mitigate potential adverse drug effects.</w:t>
      </w:r>
      <w:r>
        <w:rPr>
          <w:color w:val="000000" w:themeColor="text1"/>
        </w:rPr>
        <w:t xml:space="preserve"> Although the current study did not observe </w:t>
      </w:r>
      <w:r w:rsidR="00426C8C">
        <w:rPr>
          <w:color w:val="000000" w:themeColor="text1"/>
        </w:rPr>
        <w:t xml:space="preserve">VF TA </w:t>
      </w:r>
      <w:r>
        <w:rPr>
          <w:color w:val="000000" w:themeColor="text1"/>
        </w:rPr>
        <w:t xml:space="preserve">muscle atrophy for the variables of GC treatment or </w:t>
      </w:r>
      <w:r w:rsidRPr="002E5426">
        <w:rPr>
          <w:color w:val="000000" w:themeColor="text1"/>
        </w:rPr>
        <w:t xml:space="preserve">euthanasia timepoint, </w:t>
      </w:r>
      <w:r w:rsidR="005A7E55" w:rsidRPr="002E5426">
        <w:rPr>
          <w:color w:val="000000" w:themeColor="text1"/>
        </w:rPr>
        <w:t>rabbits revealed</w:t>
      </w:r>
      <w:r w:rsidRPr="002E5426">
        <w:rPr>
          <w:color w:val="000000" w:themeColor="text1"/>
        </w:rPr>
        <w:t xml:space="preserve"> global body mass loss </w:t>
      </w:r>
      <w:r w:rsidR="005F3B9D" w:rsidRPr="002E5426">
        <w:rPr>
          <w:color w:val="000000" w:themeColor="text1"/>
        </w:rPr>
        <w:t>7-days post</w:t>
      </w:r>
      <w:r w:rsidRPr="002E5426">
        <w:rPr>
          <w:color w:val="000000" w:themeColor="text1"/>
        </w:rPr>
        <w:t xml:space="preserve"> methylprednisolone</w:t>
      </w:r>
      <w:r w:rsidR="005F3B9D" w:rsidRPr="002E5426">
        <w:rPr>
          <w:color w:val="000000" w:themeColor="text1"/>
        </w:rPr>
        <w:t xml:space="preserve"> </w:t>
      </w:r>
      <w:r w:rsidR="005A7E55" w:rsidRPr="002E5426">
        <w:rPr>
          <w:color w:val="000000" w:themeColor="text1"/>
        </w:rPr>
        <w:t>treatment</w:t>
      </w:r>
      <w:r w:rsidRPr="002E5426">
        <w:rPr>
          <w:color w:val="000000" w:themeColor="text1"/>
        </w:rPr>
        <w:t>.</w:t>
      </w:r>
      <w:r w:rsidR="009311E2" w:rsidRPr="002E5426">
        <w:rPr>
          <w:color w:val="000000" w:themeColor="text1"/>
        </w:rPr>
        <w:t xml:space="preserve"> </w:t>
      </w:r>
      <w:bookmarkStart w:id="123" w:name="_Hlk86132257"/>
      <w:r w:rsidR="009311E2" w:rsidRPr="002E5426">
        <w:rPr>
          <w:color w:val="000000" w:themeColor="text1"/>
        </w:rPr>
        <w:t xml:space="preserve">This global body mass loss </w:t>
      </w:r>
      <w:r w:rsidR="00F42497" w:rsidRPr="002E5426">
        <w:rPr>
          <w:color w:val="000000" w:themeColor="text1"/>
        </w:rPr>
        <w:t>may</w:t>
      </w:r>
      <w:r w:rsidR="009311E2" w:rsidRPr="002E5426">
        <w:rPr>
          <w:color w:val="000000" w:themeColor="text1"/>
        </w:rPr>
        <w:t xml:space="preserve"> be due to the</w:t>
      </w:r>
      <w:r w:rsidR="00426C8C" w:rsidRPr="002E5426">
        <w:rPr>
          <w:color w:val="000000" w:themeColor="text1"/>
        </w:rPr>
        <w:t xml:space="preserve"> inhibitory</w:t>
      </w:r>
      <w:r w:rsidR="009311E2" w:rsidRPr="002E5426">
        <w:rPr>
          <w:color w:val="000000" w:themeColor="text1"/>
        </w:rPr>
        <w:t xml:space="preserve"> </w:t>
      </w:r>
      <w:r w:rsidR="003F0459" w:rsidRPr="002E5426">
        <w:rPr>
          <w:color w:val="000000" w:themeColor="text1"/>
        </w:rPr>
        <w:t>effects</w:t>
      </w:r>
      <w:r w:rsidR="009311E2" w:rsidRPr="002E5426">
        <w:rPr>
          <w:color w:val="000000" w:themeColor="text1"/>
        </w:rPr>
        <w:t xml:space="preserve"> </w:t>
      </w:r>
      <w:r w:rsidR="003F0459" w:rsidRPr="002E5426">
        <w:rPr>
          <w:color w:val="000000" w:themeColor="text1"/>
        </w:rPr>
        <w:t>methylprednisolone</w:t>
      </w:r>
      <w:r w:rsidR="009311E2" w:rsidRPr="002E5426">
        <w:rPr>
          <w:color w:val="000000" w:themeColor="text1"/>
        </w:rPr>
        <w:t xml:space="preserve"> has</w:t>
      </w:r>
      <w:r w:rsidR="00426C8C" w:rsidRPr="002E5426">
        <w:rPr>
          <w:color w:val="000000" w:themeColor="text1"/>
        </w:rPr>
        <w:t xml:space="preserve"> on</w:t>
      </w:r>
      <w:r w:rsidR="003F0459" w:rsidRPr="002E5426">
        <w:rPr>
          <w:color w:val="000000" w:themeColor="text1"/>
        </w:rPr>
        <w:t xml:space="preserve"> the endocrine system, specifically</w:t>
      </w:r>
      <w:r w:rsidR="009311E2" w:rsidRPr="002E5426">
        <w:rPr>
          <w:color w:val="000000" w:themeColor="text1"/>
        </w:rPr>
        <w:t xml:space="preserve"> IGF-</w:t>
      </w:r>
      <w:r w:rsidR="00426C8C" w:rsidRPr="002E5426">
        <w:rPr>
          <w:color w:val="000000" w:themeColor="text1"/>
        </w:rPr>
        <w:t>1.</w:t>
      </w:r>
      <w:r w:rsidR="00426C8C" w:rsidRPr="002E5426">
        <w:rPr>
          <w:color w:val="000000" w:themeColor="text1"/>
        </w:rPr>
        <w:fldChar w:fldCharType="begin"/>
      </w:r>
      <w:r w:rsidR="00DA7707">
        <w:rPr>
          <w:color w:val="000000" w:themeColor="text1"/>
        </w:rPr>
        <w:instrText xml:space="preserve"> ADDIN ZOTERO_ITEM CSL_CITATION {"citationID":"WjpIzLCO","properties":{"formattedCitation":"\\super 188,241\\nosupersub{}","plainCitation":"188,241","noteIndex":0},"citationItems":[{"id":2642,"uris":["http://zotero.org/users/6281125/items/STAXV6C5"],"uri":["http://zotero.org/users/6281125/items/STAXV6C5"],"itemData":{"id":2642,"type":"article-journal","container-title":"Muscle &amp; Nerve","DOI":"10.1002/mus.21048","ISSN":"0148639X, 10974598","issue":"3","journalAbbreviation":"Muscle Nerve","language":"en","page":"1161-1172","source":"DOI.org (Crossref)","title":"Acute effects of high-dose methylprednisolone on diaphragm muscle function","volume":"38","author":[{"family":"Sassoon","given":"Catherine S. H."},{"family":"Zhu","given":"Ercheng"},{"family":"Pham","given":"H. Tony"},{"family":"Nelson","given":"Renee S."},{"family":"Fang","given":"Liwei"},{"family":"Baker","given":"Michael J."},{"family":"Caiozzo","given":"Vincent J."}],"issued":{"date-parts":[["2008",9]]}}},{"id":836,"uris":["http://zotero.org/users/6281125/items/KVQWMSUS"],"uri":["http://zotero.org/users/6281125/items/KVQWMSUS"],"itemData":{"id":836,"type":"article-journal","abstract":"Massive doses of methylprednisolone (M) or triamcinolone (T) induced diaphragmatic type IIx/b atrophy, resulting in a leftward shift of the force–frequency curve in rats (1). To examine the role of insulin-like growth factors (IGFs) in these changes, IGF mRNA content was measured in costal diaphragm, gastrocnemius, and liver removed from 32 rats treated daily during 5 d either with saline  (control, C and pair-fed, PF), M, or T (80 mg/kg). Blood samples were taken to measure IGF-1 serum  levels. RNA levels were measured by Northern and dot-blots after hybridization with rat IGF-1 or IGF-2  cDNA probes labeled with  α -32P. Compared with C (845  ±  128 ng/ml), IGF-1 serum levels were significantly decreased in M (699  ±  90 ng/ml, p  &lt;  0.001 versus C) and PF animals (505  ±  33 ng/ml, p  &lt;   0.001 versus others) and even more so, in T-treated animals (273  ±  134 ng/ml, p  &lt;  0.001 versus others). Along the same lines, IGF-1 expression in the liver was depressed after corticosteroid treatment  and in PF, whereas IGF-2 mRNA content remained unchanged. Compared with C, the relative expression of IGF-1 mRNA in the diaphragm was depressed by 44% and 69% in the M and T groups, respectively (p  &lt;  0.0001 versus C), while it was unchanged in PF animals. In the gastrocnemius, IGF-1 expression was reduced after M and T ( − 51% and  − 59%, respectively, p  &lt;  0.0001 versus C) as well as  in PF animals ( − 40%, p  &lt;  0.001 versus C). For IGF-2, a similar pattern of expression was found in the  diaphragm and the gastrocnemius. Indeed, IGF-2 mRNA tended to decrease in corticosteroid-treated  rats (NS) whereas it was unchanged in PF rats. We conclude that decreased IGF expression after corticosteroid treatment was similar in diaphragm and gastrocnemius and may be responsible for the  diaphragmatic changes observed after steroid treatment.","container-title":"American Journal of Respiratory and Critical Care Medicine","DOI":"10.1164/ajrccm.159.1.9803021","ISSN":"1073-449X","issue":"1","journalAbbreviation":"Am J Respir Crit Care Med","note":"publisher: American Thoracic Society - AJRCCM","page":"283-289","source":"atsjournals.org (Atypon)","title":"Acute Treatment with Corticosteroids Decreases IGF-1 and IGF-2 Expression in the Rat Diaphragm and Gastrocnemius","volume":"159","author":[{"family":"Gayan-Ramirez","given":"Ghislaine"},{"family":"Vanderhoydonc","given":"Frank"},{"family":"Verhoeven","given":"Guido"},{"family":"Decramer","given":"Marc"}],"issued":{"date-parts":[["1999",1,1]]}}}],"schema":"https://github.com/citation-style-language/schema/raw/master/csl-citation.json"} </w:instrText>
      </w:r>
      <w:r w:rsidR="00426C8C" w:rsidRPr="002E5426">
        <w:rPr>
          <w:color w:val="000000" w:themeColor="text1"/>
        </w:rPr>
        <w:fldChar w:fldCharType="separate"/>
      </w:r>
      <w:r w:rsidR="00DA7707" w:rsidRPr="00DA7707">
        <w:rPr>
          <w:vertAlign w:val="superscript"/>
        </w:rPr>
        <w:t>188,241</w:t>
      </w:r>
      <w:r w:rsidR="00426C8C" w:rsidRPr="002E5426">
        <w:rPr>
          <w:color w:val="000000" w:themeColor="text1"/>
        </w:rPr>
        <w:fldChar w:fldCharType="end"/>
      </w:r>
      <w:r w:rsidR="00426C8C" w:rsidRPr="002E5426">
        <w:rPr>
          <w:color w:val="000000" w:themeColor="text1"/>
        </w:rPr>
        <w:t xml:space="preserve"> </w:t>
      </w:r>
      <w:r w:rsidR="00A97737" w:rsidRPr="002E5426">
        <w:rPr>
          <w:color w:val="000000" w:themeColor="text1"/>
        </w:rPr>
        <w:t>Dose-dependent body mass decreases</w:t>
      </w:r>
      <w:r w:rsidR="00A01787" w:rsidRPr="002E5426">
        <w:rPr>
          <w:color w:val="000000" w:themeColor="text1"/>
        </w:rPr>
        <w:t xml:space="preserve"> </w:t>
      </w:r>
      <w:r w:rsidR="00A97737" w:rsidRPr="002E5426">
        <w:rPr>
          <w:color w:val="000000" w:themeColor="text1"/>
        </w:rPr>
        <w:t>have been observed in rats after repeated</w:t>
      </w:r>
      <w:r w:rsidR="00426C8C" w:rsidRPr="002E5426">
        <w:rPr>
          <w:color w:val="000000" w:themeColor="text1"/>
        </w:rPr>
        <w:t xml:space="preserve"> </w:t>
      </w:r>
      <w:r w:rsidR="003F0459" w:rsidRPr="002E5426">
        <w:rPr>
          <w:color w:val="000000" w:themeColor="text1"/>
        </w:rPr>
        <w:t>methylprednisolone</w:t>
      </w:r>
      <w:r w:rsidR="00426C8C" w:rsidRPr="002E5426">
        <w:rPr>
          <w:color w:val="000000" w:themeColor="text1"/>
        </w:rPr>
        <w:t xml:space="preserve"> treatment</w:t>
      </w:r>
      <w:r w:rsidR="00A97737" w:rsidRPr="002E5426">
        <w:rPr>
          <w:color w:val="000000" w:themeColor="text1"/>
        </w:rPr>
        <w:t>,</w:t>
      </w:r>
      <w:r w:rsidRPr="002E5426">
        <w:rPr>
          <w:color w:val="000000" w:themeColor="text1"/>
        </w:rPr>
        <w:fldChar w:fldCharType="begin"/>
      </w:r>
      <w:r w:rsidR="00DA7707">
        <w:rPr>
          <w:color w:val="000000" w:themeColor="text1"/>
        </w:rPr>
        <w:instrText xml:space="preserve"> ADDIN ZOTERO_ITEM CSL_CITATION {"citationID":"o282M3VZ","properties":{"formattedCitation":"\\super 242\\nosupersub{}","plainCitation":"242","noteIndex":0},"citationItems":[{"id":1961,"uris":["http://zotero.org/users/6281125/items/QECTHY25"],"uri":["http://zotero.org/users/6281125/items/QECTHY25"],"itemData":{"id":1961,"type":"article-journal","abstract":"Glucocorticoids usually inhibit growth despite a paradoxical increase in total IGF-I. To investigate the effect of methylprednisolone on free IGF-I, rats were treated with for 3 days (0, 1, 2, 4, and 6 mg/kg per day). A dosedependent decrease in ultrafiltrated serum free IGF-I was observed, being lowest after 6 mg/kg (P&lt;0.001 all groups vs controls). Total IGF-I was increased in the groups receiving 2 mg/kg (P&lt;0.05). Weight change in the 24 h prior to blood sampling was positively correlated with free IGF-I (r=0.46, P=0.0002), but not with total IGF-I. Immunoassayable IGFBP-1 was decreased in rats given 4 mg/kg (P=0.001), whereas there was no change in IGFBP-3 or acid-labile subunit. We propose that in rats the glucocorticoid-induced weight loss may in part be due to suppression of circulating free IGF-I.","container-title":"Growth Hormone &amp; IGF Research","DOI":"10.1054/ghir.1999.0090","ISSN":"10966374","issue":"1","journalAbbreviation":"Growth Hormone &amp; IGF Research","language":"en","page":"74-80","source":"DOI.org (Crossref)","title":"Serum free insulin-like growth factor-I is dose-dependently decreased by methylprednisolone and related to body weight changes in rats","volume":"9","author":[{"family":"Skjærbæk","given":"Christian"},{"family":"Frystyk","given":"Jan"},{"family":"Grøfte","given":"Thorbjørn"},{"family":"Flyvbjerg","given":"Allan"},{"family":"Lewitt","given":"Moira S."},{"family":"Baxter","given":"Robert C."},{"family":"Ørskov","given":"Hans"}],"issued":{"date-parts":[["1999",2]]}}}],"schema":"https://github.com/citation-style-language/schema/raw/master/csl-citation.json"} </w:instrText>
      </w:r>
      <w:r w:rsidRPr="002E5426">
        <w:rPr>
          <w:color w:val="000000" w:themeColor="text1"/>
        </w:rPr>
        <w:fldChar w:fldCharType="separate"/>
      </w:r>
      <w:r w:rsidR="00DA7707" w:rsidRPr="00DA7707">
        <w:rPr>
          <w:vertAlign w:val="superscript"/>
        </w:rPr>
        <w:t>242</w:t>
      </w:r>
      <w:r w:rsidRPr="002E5426">
        <w:rPr>
          <w:color w:val="000000" w:themeColor="text1"/>
        </w:rPr>
        <w:fldChar w:fldCharType="end"/>
      </w:r>
      <w:r w:rsidRPr="002E5426">
        <w:rPr>
          <w:color w:val="000000" w:themeColor="text1"/>
        </w:rPr>
        <w:t xml:space="preserve"> which was </w:t>
      </w:r>
      <w:r w:rsidR="00A97737" w:rsidRPr="002E5426">
        <w:rPr>
          <w:color w:val="000000" w:themeColor="text1"/>
        </w:rPr>
        <w:t>postulated</w:t>
      </w:r>
      <w:r w:rsidRPr="002E5426">
        <w:rPr>
          <w:color w:val="000000" w:themeColor="text1"/>
        </w:rPr>
        <w:t xml:space="preserve"> to result from decreased circulating </w:t>
      </w:r>
      <w:r w:rsidR="003F1096" w:rsidRPr="002E5426">
        <w:rPr>
          <w:color w:val="000000" w:themeColor="text1"/>
        </w:rPr>
        <w:t>IGF-</w:t>
      </w:r>
      <w:r w:rsidRPr="002E5426">
        <w:rPr>
          <w:color w:val="000000" w:themeColor="text1"/>
        </w:rPr>
        <w:t>I.</w:t>
      </w:r>
      <w:r w:rsidR="006B14AC" w:rsidRPr="002E5426">
        <w:rPr>
          <w:color w:val="000000" w:themeColor="text1"/>
        </w:rPr>
        <w:t xml:space="preserve"> There h</w:t>
      </w:r>
      <w:r w:rsidR="00A02A96" w:rsidRPr="002E5426">
        <w:rPr>
          <w:color w:val="000000" w:themeColor="text1"/>
        </w:rPr>
        <w:t>ave</w:t>
      </w:r>
      <w:r w:rsidR="006B14AC" w:rsidRPr="002E5426">
        <w:rPr>
          <w:color w:val="000000" w:themeColor="text1"/>
        </w:rPr>
        <w:t xml:space="preserve"> also </w:t>
      </w:r>
      <w:r w:rsidR="003A33DD" w:rsidRPr="002E5426">
        <w:rPr>
          <w:color w:val="000000" w:themeColor="text1"/>
        </w:rPr>
        <w:t xml:space="preserve">been mixed reports </w:t>
      </w:r>
      <w:r w:rsidR="002A0894" w:rsidRPr="002E5426">
        <w:rPr>
          <w:color w:val="000000" w:themeColor="text1"/>
        </w:rPr>
        <w:t>regarding</w:t>
      </w:r>
      <w:r w:rsidR="003A33DD" w:rsidRPr="002E5426">
        <w:rPr>
          <w:color w:val="000000" w:themeColor="text1"/>
        </w:rPr>
        <w:t xml:space="preserve"> GCs</w:t>
      </w:r>
      <w:r w:rsidR="002405D2" w:rsidRPr="002E5426">
        <w:rPr>
          <w:color w:val="000000" w:themeColor="text1"/>
        </w:rPr>
        <w:t>'</w:t>
      </w:r>
      <w:r w:rsidR="003A33DD" w:rsidRPr="002E5426">
        <w:rPr>
          <w:color w:val="000000" w:themeColor="text1"/>
        </w:rPr>
        <w:t xml:space="preserve"> </w:t>
      </w:r>
      <w:r w:rsidR="002A0894" w:rsidRPr="002E5426">
        <w:rPr>
          <w:color w:val="000000" w:themeColor="text1"/>
        </w:rPr>
        <w:t>effect on</w:t>
      </w:r>
      <w:r w:rsidR="003A33DD" w:rsidRPr="002E5426">
        <w:rPr>
          <w:color w:val="000000" w:themeColor="text1"/>
        </w:rPr>
        <w:t xml:space="preserve"> appetite</w:t>
      </w:r>
      <w:r w:rsidR="002A0894" w:rsidRPr="002E5426">
        <w:rPr>
          <w:color w:val="000000" w:themeColor="text1"/>
        </w:rPr>
        <w:t xml:space="preserve">. </w:t>
      </w:r>
      <w:r w:rsidR="00D419F9" w:rsidRPr="002E5426">
        <w:rPr>
          <w:color w:val="000000" w:themeColor="text1"/>
        </w:rPr>
        <w:t xml:space="preserve">Studies in rats </w:t>
      </w:r>
      <w:r w:rsidR="003B088D" w:rsidRPr="002E5426">
        <w:rPr>
          <w:color w:val="000000" w:themeColor="text1"/>
        </w:rPr>
        <w:t>revealed dose-dependent decreases in food intak</w:t>
      </w:r>
      <w:r w:rsidR="000C78BD" w:rsidRPr="002E5426">
        <w:rPr>
          <w:color w:val="000000" w:themeColor="text1"/>
        </w:rPr>
        <w:t>e</w:t>
      </w:r>
      <w:r w:rsidR="00EE7F7F" w:rsidRPr="002E5426">
        <w:rPr>
          <w:color w:val="000000" w:themeColor="text1"/>
        </w:rPr>
        <w:t xml:space="preserve"> and body mass</w:t>
      </w:r>
      <w:r w:rsidR="00D16C6E" w:rsidRPr="002E5426">
        <w:rPr>
          <w:color w:val="000000" w:themeColor="text1"/>
        </w:rPr>
        <w:t>,</w:t>
      </w:r>
      <w:r w:rsidR="000C78BD" w:rsidRPr="002E5426">
        <w:rPr>
          <w:color w:val="000000" w:themeColor="text1"/>
        </w:rPr>
        <w:fldChar w:fldCharType="begin"/>
      </w:r>
      <w:r w:rsidR="00DA7707">
        <w:rPr>
          <w:color w:val="000000" w:themeColor="text1"/>
        </w:rPr>
        <w:instrText xml:space="preserve"> ADDIN ZOTERO_ITEM CSL_CITATION {"citationID":"Po8Grgrq","properties":{"formattedCitation":"\\super 243,244\\nosupersub{}","plainCitation":"243,244","noteIndex":0},"citationItems":[{"id":2610,"uris":["http://zotero.org/users/6281125/items/GYKDWEGD"],"uri":["http://zotero.org/users/6281125/items/GYKDWEGD"],"itemData":{"id":2610,"type":"article-journal","abstract":"This study was conducted to define the regulatory mechanisms underlying stress-induced decreases in food intake and weight gain. Rats received a single or 4 daily injections of dexamethasone (0.1 or 1 mg/kg). Food intake and weight gain were recorded, and plasma leptin, brain contents of serotonin (5-hydroxytryptamine; 5-HT), 5-hydroxy-indole-acetic acid (5-HIAA) and the raphe expression of tryptophan hydroxylase (TPH), monoamine oxidase A (MAO-A) and 5-HT reuptake transporter (5-HTT) genes were examined. A single injection of dexamethasone did not acutely affect food intake, but cumulative food intake and weight gain were suppressed dose-dependently by daily injections of dexamethasone. Both a single and repeated injections of dexamethasone elevated plasma leptin in a dose dependent manner. 5-HT contents in the hypothalamus was decreased, but 5-HIAA increased, both by a single and repeated dexamethasone. A single injection of dexamethasone did not affect mRNA expressions of TPH, MAO-A and 5-HTT genes, but repeated dexamethasone increased them in the dorsal raphe nucleus. These results suggest that plasma leptin may play a role in dexamethasone-induced anorexia. Additionally, increased expression of MAO-A and 5-HTT genes by repeated dexamethasone appears to be implicated in decreases of the brain 5-HT contents.","container-title":"European Journal of Pharmacology","DOI":"10.1016/j.ejphar.2007.11.029","ISSN":"00142999","issue":"1-2","journalAbbreviation":"European Journal of Pharmacology","language":"en","page":"64-70","source":"DOI.org (Crossref)","title":"Dexamethasone reduces food intake, weight gain and the hypothalamic 5-HT concentration and increases plasma leptin in rats","volume":"581","author":[{"family":"Won Jahng","given":"Jeong"},{"family":"Kim","given":"Nam Youl"},{"family":"Ryu","given":"Vitaly"},{"family":"Yoo","given":"Sang Bae"},{"family":"Kim","given":"Bom-Taeck"},{"family":"Kang","given":"Dong-Won"},{"family":"Lee","given":"Jong-Ho"}],"issued":{"date-parts":[["2008",2]]}}},{"id":2596,"uris":["http://zotero.org/users/6281125/items/NK2HBLN8"],"uri":["http://zotero.org/users/6281125/items/NK2HBLN8"],"itemData":{"id":2596,"type":"article-journal","abstract":"The aim of the present study was to investigate the effects of glucocorticoids (GCs) on appetite and gene expression of the hypothalamic appetite regulatory peptides, neuropeptide Y (NPY), agouti-related protein (AGRP) and cocaine and amphetamine-regulated transcript (CART), in non-obese and obese rats. Both non-obese and obese rats were randomly assigned to three groups: normal saline, low- and high-dose GC groups (NSG, LDG and HDG, respectively), which received an intraperitoneal injection with normal saline (0.2 ml/100 g) or hydrocortisone sodium succinate at 5 and 15 mg/kg, respectively, for 20 days. The expression levels of NPY, AGRP and CART mRNA in the hypothalamus were measured by real-time quantitative PCR. Non-obese and obese rats were found to undergo weight loss after GC injection, and a higher degree of weight loss was observed in the HDG rats. The average and cumulative food intakes in the obese and nonobese rats injected with high-dose GC were lower compared to that in the NSG (p&lt;0.05). mRNA expression levels of the orexigenic neuropeptides, NPY and AGRP, and the anorexigenic neuropeptide, CART, were significantly lower in the HDG than levels in the NSG for both the obese and non-obese rats (p&lt;0.05). GC treatment decreased appetite and body weight, induced apparent glucolipid metabolic disturbances and hyperinsulinemia, while down-regulated mRNA expression levels of the orexigenic neuropeptides, NPY and AGRP, and anorexigenic neuropeptide, CART, in the hypothalamus in the rats. The mechanism which induces this neuropeptide expression requires further study.","container-title":"Experimental and Therapeutic Medicine","DOI":"10.3892/etm.2011.292","ISSN":"1792-0981, 1792-1015","issue":"5","language":"en","page":"977-984","source":"DOI.org (Crossref)","title":"Glucocorticoids decrease body weight and food intake and inhibit appetite regulatory peptide expression in the hypothalamus of rats","volume":"2","author":[{"family":"Liu","given":"Xiao-Yan"},{"family":"Shi","given":"Jian-Hua"},{"family":"Du","given":"Wen-Hua"},{"family":"Fan","given":"Yan-Ping"},{"family":"Hu","given":"Xiao-Lei"},{"family":"Zhang","given":"Chen-Chen"},{"family":"Xu","given":"Huan-Bai"},{"family":"Miao","given":"Yan-Jun"},{"family":"Zhou","given":"Hai-Yan"},{"family":"Xiang","given":"Ping"},{"family":"Chen","given":"Feng-Ling"}],"issued":{"date-parts":[["2011"]]}}}],"schema":"https://github.com/citation-style-language/schema/raw/master/csl-citation.json"} </w:instrText>
      </w:r>
      <w:r w:rsidR="000C78BD" w:rsidRPr="002E5426">
        <w:rPr>
          <w:color w:val="000000" w:themeColor="text1"/>
        </w:rPr>
        <w:fldChar w:fldCharType="separate"/>
      </w:r>
      <w:r w:rsidR="00DA7707" w:rsidRPr="00DA7707">
        <w:rPr>
          <w:vertAlign w:val="superscript"/>
        </w:rPr>
        <w:t>243,244</w:t>
      </w:r>
      <w:r w:rsidR="000C78BD" w:rsidRPr="002E5426">
        <w:rPr>
          <w:color w:val="000000" w:themeColor="text1"/>
        </w:rPr>
        <w:fldChar w:fldCharType="end"/>
      </w:r>
      <w:r w:rsidR="000C78BD" w:rsidRPr="002E5426">
        <w:rPr>
          <w:color w:val="000000" w:themeColor="text1"/>
        </w:rPr>
        <w:t xml:space="preserve"> while other</w:t>
      </w:r>
      <w:r w:rsidR="00F552AA" w:rsidRPr="002E5426">
        <w:rPr>
          <w:color w:val="000000" w:themeColor="text1"/>
        </w:rPr>
        <w:t xml:space="preserve"> studies in rats and humans</w:t>
      </w:r>
      <w:r w:rsidR="000C78BD" w:rsidRPr="002E5426">
        <w:rPr>
          <w:color w:val="000000" w:themeColor="text1"/>
        </w:rPr>
        <w:t xml:space="preserve"> found </w:t>
      </w:r>
      <w:r w:rsidR="00F552AA" w:rsidRPr="002E5426">
        <w:rPr>
          <w:color w:val="000000" w:themeColor="text1"/>
        </w:rPr>
        <w:t>increases</w:t>
      </w:r>
      <w:r w:rsidR="000C78BD" w:rsidRPr="002E5426">
        <w:rPr>
          <w:color w:val="000000" w:themeColor="text1"/>
        </w:rPr>
        <w:t xml:space="preserve"> in food intake</w:t>
      </w:r>
      <w:r w:rsidR="00EE7F7F" w:rsidRPr="002E5426">
        <w:rPr>
          <w:color w:val="000000" w:themeColor="text1"/>
        </w:rPr>
        <w:t xml:space="preserve"> and body mass</w:t>
      </w:r>
      <w:r w:rsidR="0066300D" w:rsidRPr="002E5426">
        <w:rPr>
          <w:color w:val="000000" w:themeColor="text1"/>
        </w:rPr>
        <w:t>.</w:t>
      </w:r>
      <w:r w:rsidR="0066300D" w:rsidRPr="002E5426">
        <w:rPr>
          <w:color w:val="000000" w:themeColor="text1"/>
        </w:rPr>
        <w:fldChar w:fldCharType="begin"/>
      </w:r>
      <w:r w:rsidR="00DA7707">
        <w:rPr>
          <w:color w:val="000000" w:themeColor="text1"/>
        </w:rPr>
        <w:instrText xml:space="preserve"> ADDIN ZOTERO_ITEM CSL_CITATION {"citationID":"zzcVHkGc","properties":{"formattedCitation":"\\super 245\\uc0\\u8211{}247\\nosupersub{}","plainCitation":"245–247","noteIndex":0},"citationItems":[{"id":2612,"uris":["http://zotero.org/users/6281125/items/84ETM2W6"],"uri":["http://zotero.org/users/6281125/items/84ETM2W6"],"itemData":{"id":2612,"type":"article-journal","container-title":"Diabetes","DOI":"10.2337/diabetes.48.2.365","ISSN":"0012-1797, 1939-327X","issue":"2","journalAbbreviation":"Diabetes","language":"en","page":"365-370","source":"DOI.org (Crossref)","title":"Induction of obesity and hyperleptinemia by central glucocorticoid infusion in the rat","volume":"48","author":[{"family":"Zakrzewska","given":"K. E."},{"family":"Cusin","given":"I."},{"family":"Stricker-Krongrad","given":"A."},{"family":"Boss","given":"O."},{"family":"Ricquier","given":"D."},{"family":"Jeanrenaud","given":"B."},{"family":"Rohner-Jeanrenaud","given":"F."}],"issued":{"date-parts":[["1999",2,1]]}}},{"id":2614,"uris":["http://zotero.org/users/6281125/items/4SBUAAHP"],"uri":["http://zotero.org/users/6281125/items/4SBUAAHP"],"itemData":{"id":2614,"type":"article-journal","abstract":"Objective: To determine whether a short course of prednisolone is superior to placebo for improving pain, function, and range of motion in adhesive capsulitis. Design: Double blind, randomised, placebo controlled trial. Setting: Community based rheumatology practice in Australia. Participants 50 participants (24 active, 26 placebo); 46 completed the 12 week protocol. Entry criteria were age &gt;18 years, pain and stiffness in predominantly one shoulder for &gt;3 weeks, and restriction of passive motion by .30˚ in two or more planes. Interventions: 30 mg oral prednisolone/day for three weeks or placebo. Main outcome measures: Overall, night, and activity related pain, SPADI, Croft shoulder disability questionnaire, DASH, HAQ, SF-36, participant rated improvement, and range of active motion measured at baseline and at 3, 6, and 12 weeks.\nResults: At 3 weeks, there was greater improvement in overall pain in the prednisolone group than in the placebo group (mean (SD) change from baseline, 4.1 (2.3) v 1.4 (2.3); adjusted difference in mean change between the two groups, 2.4 (95% CI, 1.1 to 3.8)). There was also greater improvement in disability, range of active motion, and participant rated improvement (marked or moderate overall improvement in 22/23 v 11/23; RR = 2 (1.3 to 3.1), p = 0.001). At 6 weeks the analysis favoured the prednisolone group for most outcomes but none of the differences was significant. At 12 weeks, the analysis tended to favour the placebo group.\nConclusions: A three week course of 30 mg prednisolone daily is of significant short term benefit in adhesive capsulitis but benefits are not maintained beyond six weeks.","container-title":"Annals of the Rheumatic Diseases","DOI":"10.1136/ard.2003.018218","ISSN":"0003-4967","issue":"11","journalAbbreviation":"Annals of the Rheumatic Diseases","language":"en","page":"1460-1469","source":"DOI.org (Crossref)","title":"Short course prednisolone for adhesive capsulitis (frozen shoulder or stiff painful shoulder): a randomised, double blind, placebo controlled trial","title-short":"Short course prednisolone for adhesive capsulitis (frozen shoulder or stiff painful shoulder)","volume":"63","author":[{"family":"Buchbinder","given":"R"}],"issued":{"date-parts":[["2004",11,1]]}}},{"id":2617,"uris":["http://zotero.org/users/6281125/items/7UXQSKT8"],"uri":["http://zotero.org/users/6281125/items/7UXQSKT8"],"itemData":{"id":2617,"type":"article-journal","container-title":"Anesthesia &amp; Analgesia","ISSN":"0003-2999","issue":"6","journalAbbreviation":"Anesthesia &amp; Analgesia","note":"publisher: LWW","page":"1578-1583","title":"The effect of dexamethasone on side effects after coronary revascularization procedures","volume":"96","author":[{"family":"Halvorsen","given":"Per"},{"family":"Ræder","given":"Johan"},{"family":"White","given":"Paul F"},{"family":"Almdahl","given":"Sven M"},{"family":"Nordstrand","given":"Kenneth"},{"family":"Saatvedt","given":"Kjell"},{"family":"Veel","given":"Terje"}],"issued":{"date-parts":[["2003"]]}}}],"schema":"https://github.com/citation-style-language/schema/raw/master/csl-citation.json"} </w:instrText>
      </w:r>
      <w:r w:rsidR="0066300D" w:rsidRPr="002E5426">
        <w:rPr>
          <w:color w:val="000000" w:themeColor="text1"/>
        </w:rPr>
        <w:fldChar w:fldCharType="separate"/>
      </w:r>
      <w:r w:rsidR="00DA7707" w:rsidRPr="00DA7707">
        <w:rPr>
          <w:vertAlign w:val="superscript"/>
        </w:rPr>
        <w:t>245–247</w:t>
      </w:r>
      <w:r w:rsidR="0066300D" w:rsidRPr="002E5426">
        <w:rPr>
          <w:color w:val="000000" w:themeColor="text1"/>
        </w:rPr>
        <w:fldChar w:fldCharType="end"/>
      </w:r>
      <w:r w:rsidR="0066300D" w:rsidRPr="002E5426">
        <w:rPr>
          <w:color w:val="000000" w:themeColor="text1"/>
        </w:rPr>
        <w:t xml:space="preserve"> </w:t>
      </w:r>
      <w:r w:rsidR="00EB3A24" w:rsidRPr="002E5426">
        <w:rPr>
          <w:color w:val="000000" w:themeColor="text1"/>
        </w:rPr>
        <w:t xml:space="preserve">However, the </w:t>
      </w:r>
      <w:r w:rsidR="00F42497" w:rsidRPr="002E5426">
        <w:rPr>
          <w:color w:val="000000" w:themeColor="text1"/>
        </w:rPr>
        <w:t>rabbits</w:t>
      </w:r>
      <w:r w:rsidR="00EB3A24" w:rsidRPr="002E5426">
        <w:rPr>
          <w:color w:val="000000" w:themeColor="text1"/>
        </w:rPr>
        <w:t xml:space="preserve"> in the current study had open access to food, and conclusions about any association between food intake</w:t>
      </w:r>
      <w:r w:rsidR="00EE7F7F" w:rsidRPr="002E5426">
        <w:rPr>
          <w:color w:val="000000" w:themeColor="text1"/>
        </w:rPr>
        <w:t>, body mass, and GC treatment are</w:t>
      </w:r>
      <w:r w:rsidR="00EB3A24" w:rsidRPr="002E5426">
        <w:rPr>
          <w:color w:val="000000" w:themeColor="text1"/>
        </w:rPr>
        <w:t xml:space="preserve"> unava</w:t>
      </w:r>
      <w:r w:rsidR="00EE7F7F" w:rsidRPr="002E5426">
        <w:rPr>
          <w:color w:val="000000" w:themeColor="text1"/>
        </w:rPr>
        <w:t>ila</w:t>
      </w:r>
      <w:r w:rsidR="00EB3A24" w:rsidRPr="002E5426">
        <w:rPr>
          <w:color w:val="000000" w:themeColor="text1"/>
        </w:rPr>
        <w:t>ble</w:t>
      </w:r>
      <w:r w:rsidR="00EE7F7F" w:rsidRPr="002E5426">
        <w:rPr>
          <w:color w:val="000000" w:themeColor="text1"/>
        </w:rPr>
        <w:t>.</w:t>
      </w:r>
      <w:bookmarkEnd w:id="123"/>
    </w:p>
    <w:p w14:paraId="2DD8CAE8" w14:textId="1E6E37C7" w:rsidR="00266D25" w:rsidRDefault="00266D25" w:rsidP="00266D25">
      <w:pPr>
        <w:rPr>
          <w:color w:val="000000" w:themeColor="text1"/>
        </w:rPr>
      </w:pPr>
      <w:r>
        <w:rPr>
          <w:color w:val="000000" w:themeColor="text1"/>
        </w:rPr>
        <w:t xml:space="preserve">The role of ZO-1, an epithelial and endothelial </w:t>
      </w:r>
      <w:r w:rsidR="003F1096">
        <w:rPr>
          <w:color w:val="000000" w:themeColor="text1"/>
        </w:rPr>
        <w:t>TJ</w:t>
      </w:r>
      <w:r>
        <w:rPr>
          <w:color w:val="000000" w:themeColor="text1"/>
        </w:rPr>
        <w:t xml:space="preserve"> protein, is to adhere adjacent cells together to decrease</w:t>
      </w:r>
      <w:r w:rsidRPr="003874B5">
        <w:rPr>
          <w:color w:val="000000" w:themeColor="text1"/>
        </w:rPr>
        <w:t xml:space="preserve"> paracellular permeability</w:t>
      </w:r>
      <w:r>
        <w:rPr>
          <w:color w:val="000000" w:themeColor="text1"/>
        </w:rPr>
        <w:t xml:space="preserve"> and maintain barrier integrity.</w:t>
      </w:r>
      <w:r>
        <w:rPr>
          <w:color w:val="000000" w:themeColor="text1"/>
        </w:rPr>
        <w:fldChar w:fldCharType="begin"/>
      </w:r>
      <w:r w:rsidR="006E526E">
        <w:rPr>
          <w:color w:val="000000" w:themeColor="text1"/>
        </w:rPr>
        <w:instrText xml:space="preserve"> ADDIN ZOTERO_ITEM CSL_CITATION {"citationID":"D1p1gRuj","properties":{"formattedCitation":"\\super 28\\nosupersub{}","plainCitation":"28","noteIndex":0},"citationItems":[{"id":1965,"uris":["http://zotero.org/users/6281125/items/W85SLEAS"],"uri":["http://zotero.org/users/6281125/items/W85SLEAS"],"itemData":{"id":1965,"type":"article-journal","container-title":"Vascular Pharmacology","issue":"6","language":"en","page":"323-337","source":"Zotero","title":"Tight junctions of the blood–brain barrier: Development, composition and regulation","volume":"38","author":[{"family":"Wolburg","given":"Hartwig"},{"family":"Lippoldt","given":"Andrea"}],"issued":{"date-parts":[["2002"]]}}}],"schema":"https://github.com/citation-style-language/schema/raw/master/csl-citation.json"} </w:instrText>
      </w:r>
      <w:r>
        <w:rPr>
          <w:color w:val="000000" w:themeColor="text1"/>
        </w:rPr>
        <w:fldChar w:fldCharType="separate"/>
      </w:r>
      <w:r w:rsidR="00B75A76" w:rsidRPr="00B75A76">
        <w:rPr>
          <w:vertAlign w:val="superscript"/>
        </w:rPr>
        <w:t>28</w:t>
      </w:r>
      <w:r>
        <w:rPr>
          <w:color w:val="000000" w:themeColor="text1"/>
        </w:rPr>
        <w:fldChar w:fldCharType="end"/>
      </w:r>
      <w:r>
        <w:rPr>
          <w:color w:val="000000" w:themeColor="text1"/>
        </w:rPr>
        <w:t xml:space="preserve"> Decreased ZO-1 expression is associated with increased endothelial and epithelial paracellular permeability.</w:t>
      </w:r>
      <w:r w:rsidRPr="00205B34">
        <w:rPr>
          <w:color w:val="000000" w:themeColor="text1"/>
          <w:highlight w:val="yellow"/>
        </w:rPr>
        <w:fldChar w:fldCharType="begin"/>
      </w:r>
      <w:r w:rsidR="00DA7707">
        <w:rPr>
          <w:color w:val="000000" w:themeColor="text1"/>
          <w:highlight w:val="yellow"/>
        </w:rPr>
        <w:instrText xml:space="preserve"> ADDIN ZOTERO_ITEM CSL_CITATION {"citationID":"tgifE64w","properties":{"formattedCitation":"\\super 240,248\\nosupersub{}","plainCitation":"240,248","noteIndex":0},"citationItems":[{"id":1973,"uris":["http://zotero.org/users/6281125/items/JDSP6QGB"],"uri":["http://zotero.org/users/6281125/items/JDSP6QGB"],"itemData":{"id":1973,"type":"article-journal","abstract":"Blood-tumor barrier (BTB) constitutes an efficient organization of tight junctions which significantly reduce permeability for chemotherapy drugs. Krüppel-like factor 4 (KLF4), a member of the Krüppel-like family, has been documented in endothelial cells and may serve as an essential regulator of endothelial barrier function. However, our knowledge about the expression and function of KLF4 in the endothelial cells of BTB still remains unclear. In this study, we sought to investigate the role of KLF4 in regulation of BTB function as well as the potential molecular mechanisms. Quantitative RT-PCR, Western blot, and immunofluorescence assays demonstrated that KLF4 was down-regulated in the glioma endothelial cells (GECs) which were obtained through endothelial cells co-cultured with glioma cells. Short hairpin RNA targeting KLF4 impaired the integrity of BTB detected by trans-endothelial electric resistance assay, and meanwhile reduced the expression of ZO-1, occludin and claudin-5, demonstrated by quantitative RT-PCR, Western blot, and immunofluorescence assays. Depletion of KLF4 increased BTB permeability to small molecules detected by permeability assays. Furthermore, luciferase assays and chromatin immunoprecipitation assays showed that KLF4 up-regulated the promoter activities and interacted with “CACCC” DNA sequence presented in the promoters of ZO-1, occludin, and claudin-5. GATA-1, GATA-6, Sp1, and Sp3 factors participated in KLF4 regulation of promoter activities through binding to the promoters of tight junctions related proteins. Collectively, our results indicated that KLF4 is a key transcriptional regulator of BTB function by regulating expressions of tight junction related proteins, which would draw growing attention to KLF4 as a potential target for glioma therapy. J. Cell. Physiol. 229: 916–926, 2014. © 2013 Wiley Periodicals, Inc.","container-title":"Journal of Cellular Physiology","DOI":"10.1002/jcp.24523","ISSN":"1097-4652","issue":"7","language":"en","note":"_eprint: https://onlinelibrary.wiley.com/doi/pdf/10.1002/jcp.24523","page":"916-926","source":"Wiley Online Library","title":"Krüppel-Like Factor 4 Regulates Blood-Tumor Barrier Permeability via ZO-1, Occludin and Claudin-5","volume":"229","author":[{"family":"Ma","given":"Jun"},{"family":"Wang","given":"Ping"},{"family":"Liu","given":"Yunhui"},{"family":"Zhao","given":"Lini"},{"family":"Li","given":"Zhen"},{"family":"Xue","given":"Yixue"}],"issued":{"date-parts":[["2014"]]}}},{"id":1971,"uris":["http://zotero.org/users/6281125/items/73YC5NXX"],"uri":["http://zotero.org/users/6281125/items/73YC5NXX"],"itemData":{"id":1971,"type":"article-journal","abstract":"Mucosal mast cells undergo hYPerPlasia in a variety of inflammatory bowel diseases including nematode infection in man and animals. The intra-epithelial localization of these cells make their soluble mediators prime candidates for modulators of epithelial function. In particular previous in vivo and ex vivo studies have established a link between the release of the highly soluble mast cell granule chYmases and increased mucosal permeability. The hypothesis that the rat mast cell protease, RMCP-II, directly increases permeability to macromolecules via the Paracellular route is tested in this study. MonolaYers of epithelial cells (Marlin-DarbY canine kidney cell line) were exposed to varying concentrations of RMCP-II in vitro in the absence of other cell types or mediators, and the effect on permeability and tight junction associated proteins was investigated. Basolateral, but not apical, exposure of polarized MDCK monolaYers on porous supports to RMCP-II led to concentration- (&gt;100 μml) and time-dependent increases in electrical conductance and per meability to mannitol (MW 182) and inulin (MW 5000 which was accompanied by decreases in the immunostaining of the tight junctionassociated proteins occludin and ZO-1. Furthermore, prolonged exposure to RMCP-II (&gt; 12 hours) resulted in the formation of identifiable gaps separating adjacent epithelial cells in the absence of evidence of cYtotoxicitY. Inhibition of RMCP-II with Soya bean trYPsin inhibitor completely abrogated the response, demonstrating that proteolysis was required. These data provide direct evidence that the rat mast cell chYmase RMCP-II can, in the absence of other inflammatory mediators, increase epithelial permeability via an effect on the Paracellular route.","container-title":"European Journal of Cell Biology","DOI":"10.1016/S0171-9335(98)80065-4","ISSN":"0171-9335","issue":"4","journalAbbreviation":"European Journal of Cell Biology","language":"en","page":"321-330","source":"ScienceDirect","title":"The rat mucosal mast cell chymase, RMCP-11, alters epithelial cell monolayer permeability in association with altered distribution of the tight junction proteins ZO-1 and occludin","volume":"75","author":[{"family":"Scudamore","given":"Cheryl L."},{"family":"Jepson","given":"Mark A."},{"family":"Hirst","given":"Barry H."},{"family":"Hugh","given":"R."},{"family":"Miller","given":"P."}],"issued":{"date-parts":[["1998",4,1]]}}}],"schema":"https://github.com/citation-style-language/schema/raw/master/csl-citation.json"} </w:instrText>
      </w:r>
      <w:r w:rsidRPr="00205B34">
        <w:rPr>
          <w:color w:val="000000" w:themeColor="text1"/>
          <w:highlight w:val="yellow"/>
        </w:rPr>
        <w:fldChar w:fldCharType="separate"/>
      </w:r>
      <w:r w:rsidR="00DA7707" w:rsidRPr="00DA7707">
        <w:rPr>
          <w:vertAlign w:val="superscript"/>
        </w:rPr>
        <w:t>240,248</w:t>
      </w:r>
      <w:r w:rsidRPr="00205B34">
        <w:rPr>
          <w:color w:val="000000" w:themeColor="text1"/>
          <w:highlight w:val="yellow"/>
        </w:rPr>
        <w:fldChar w:fldCharType="end"/>
      </w:r>
      <w:r>
        <w:rPr>
          <w:color w:val="000000" w:themeColor="text1"/>
        </w:rPr>
        <w:t xml:space="preserve"> In the current study, rabbits treated</w:t>
      </w:r>
      <w:r w:rsidRPr="007A36A9">
        <w:rPr>
          <w:color w:val="000000" w:themeColor="text1"/>
        </w:rPr>
        <w:t xml:space="preserve"> </w:t>
      </w:r>
      <w:r>
        <w:rPr>
          <w:color w:val="000000" w:themeColor="text1"/>
        </w:rPr>
        <w:t>with daily</w:t>
      </w:r>
      <w:r w:rsidR="003F1096">
        <w:rPr>
          <w:color w:val="000000" w:themeColor="text1"/>
        </w:rPr>
        <w:t xml:space="preserve"> intramuscular </w:t>
      </w:r>
      <w:r>
        <w:rPr>
          <w:color w:val="000000" w:themeColor="text1"/>
        </w:rPr>
        <w:t>dexamethasone injections</w:t>
      </w:r>
      <w:r w:rsidRPr="007A36A9">
        <w:rPr>
          <w:color w:val="000000" w:themeColor="text1"/>
        </w:rPr>
        <w:t xml:space="preserve"> revealed an up</w:t>
      </w:r>
      <w:r>
        <w:rPr>
          <w:color w:val="000000" w:themeColor="text1"/>
        </w:rPr>
        <w:t>-</w:t>
      </w:r>
      <w:r w:rsidRPr="007A36A9">
        <w:rPr>
          <w:color w:val="000000" w:themeColor="text1"/>
        </w:rPr>
        <w:t xml:space="preserve">regulation </w:t>
      </w:r>
      <w:r>
        <w:rPr>
          <w:color w:val="000000" w:themeColor="text1"/>
        </w:rPr>
        <w:t>of</w:t>
      </w:r>
      <w:r w:rsidRPr="007A36A9">
        <w:rPr>
          <w:color w:val="000000" w:themeColor="text1"/>
        </w:rPr>
        <w:t xml:space="preserve"> ZO-1 across all euthanasia time points</w:t>
      </w:r>
      <w:r>
        <w:rPr>
          <w:color w:val="000000" w:themeColor="text1"/>
        </w:rPr>
        <w:t xml:space="preserve"> compared to controls</w:t>
      </w:r>
      <w:r w:rsidRPr="007A36A9">
        <w:rPr>
          <w:color w:val="000000" w:themeColor="text1"/>
        </w:rPr>
        <w:t>.</w:t>
      </w:r>
      <w:r>
        <w:rPr>
          <w:color w:val="000000" w:themeColor="text1"/>
        </w:rPr>
        <w:t xml:space="preserve"> This finding is supported by several studies that observed i</w:t>
      </w:r>
      <w:r w:rsidRPr="00785705">
        <w:rPr>
          <w:color w:val="000000" w:themeColor="text1"/>
        </w:rPr>
        <w:t>ncreased Z</w:t>
      </w:r>
      <w:r>
        <w:rPr>
          <w:color w:val="000000" w:themeColor="text1"/>
        </w:rPr>
        <w:t>O</w:t>
      </w:r>
      <w:r w:rsidRPr="00785705">
        <w:rPr>
          <w:color w:val="000000" w:themeColor="text1"/>
        </w:rPr>
        <w:t>-1 expression</w:t>
      </w:r>
      <w:r>
        <w:rPr>
          <w:color w:val="000000" w:themeColor="text1"/>
        </w:rPr>
        <w:t xml:space="preserve"> associated with increased </w:t>
      </w:r>
      <w:r w:rsidR="00612FFB">
        <w:rPr>
          <w:color w:val="000000" w:themeColor="text1"/>
        </w:rPr>
        <w:t>TEER</w:t>
      </w:r>
      <w:r>
        <w:rPr>
          <w:color w:val="000000" w:themeColor="text1"/>
        </w:rPr>
        <w:t xml:space="preserve"> and decreased</w:t>
      </w:r>
      <w:r w:rsidRPr="00785705">
        <w:rPr>
          <w:color w:val="000000" w:themeColor="text1"/>
        </w:rPr>
        <w:t xml:space="preserve"> paracellular permeability in epithelial and endothelial </w:t>
      </w:r>
      <w:r>
        <w:rPr>
          <w:color w:val="000000" w:themeColor="text1"/>
        </w:rPr>
        <w:t>cells after dexamethasone treatment.</w:t>
      </w:r>
      <w:r>
        <w:rPr>
          <w:color w:val="000000" w:themeColor="text1"/>
        </w:rPr>
        <w:fldChar w:fldCharType="begin"/>
      </w:r>
      <w:r w:rsidR="00DA7707">
        <w:rPr>
          <w:color w:val="000000" w:themeColor="text1"/>
        </w:rPr>
        <w:instrText xml:space="preserve"> ADDIN ZOTERO_ITEM CSL_CITATION {"citationID":"dlQmzPk4","properties":{"formattedCitation":"\\super 140\\uc0\\u8211{}142\\nosupersub{}","plainCitation":"140–142","noteIndex":0},"citationItems":[{"id":1979,"uris":["http://zotero.org/users/6281125/items/CHLQB594"],"uri":["http://zotero.org/users/6281125/items/CHLQB594"],"itemData":{"id":1979,"type":"article-journal","abstract":"Owing to the frequent incidence of blast-induced traumatic brain injury (bTBI) in recent military conflicts, there is an urgent need to develop effective therapies for bTBI-related pathologies. Blood-brain barrier (BBB) breakdown has been reported to occur after primary blast exposure, making restoration of BBB function and integrity a promising therapeutic target. We tested the hypothesis that treatment with dexamethasone (DEX) after primary blast injury potentiates recovery of an in vitro BBB model consisting of mouse brain endothelial cells (bEnd.3). DEX treatment resulted in complete recovery of transendothelial electrical resistance and hydraulic conductivity 1 day after injury, compared with 3 days for vehicle-treated injured cultures. Administration of RU486 (mifepristone) inhibited effects of DEX, confirming that barrier restoration was mediated by glucocorticoid receptor signaling. Potentiated recovery with DEX treatment was accompanied by stronger zonula occludens (ZO)-1 tight junction immunostaining and expression, suggesting that increased ZO-1 expression was a structural correlate to BBB recovery after blast. Interestingly, augmented ZO-1 protein expression was associated with specific upregulation of the α+ isoform but not the α? isoform. This is the first study to provide a mechanistic basis for potentiated functional recovery of an in vitro BBB model because of glucocorticoid treatment after primary blast injury.","container-title":"Journal of Cerebral Blood Flow &amp; Metabolism","DOI":"10.1038/jcbfm.2015.38","ISSN":"0271-678X","issue":"7","journalAbbreviation":"J Cereb Blood Flow Metab","note":"publisher: SAGE Publications Ltd STM","page":"1191-1198","source":"SAGE Journals","title":"Dexamethasone Potentiates in Vitro Blood-Brain Barrier Recovery after Primary Blast Injury by Glucocorticoid Receptor-Mediated Upregulation of ZO-1 Tight Junction Protein","volume":"35","author":[{"family":"Hue","given":"Christopher D"},{"family":"Cho","given":"Frances S"},{"family":"Cao","given":"Siqi"},{"family":"Bass","given":"Cameron R “Dale”"},{"family":"Meaney","given":"David F"},{"family":"Morrison","given":"Barclay"}],"issued":{"date-parts":[["2015",7,1]]}}},{"id":1976,"uris":["http://zotero.org/users/6281125/items/JNM2MTGS"],"uri":["http://zotero.org/users/6281125/items/JNM2MTGS"],"itemData":{"id":1976,"type":"article-journal","abstract":"The blood–brain barrier (BBB) plays an important role in controlling the passage of molecules from the blood to the extracellular fluid environment of the brain. An immortalised rat brain endothelial cell line (GPNT) was used to investigate the mechanisms underlying dexamethasone-induced decrease in paracellular permeability. Following treatment with 1 μM dexamethasone there was a decrease in transmonolayer paracellular permeability mainly to sucrose, fluorescein and dextrans of up to 20 KDa. According to pore theory, these differences in permeability were consistent with a decrease in the number of pores between brain endothelial cells. This effect was accompanied by a concentration of filamentous actin and cortactin to the cell periphery. Concomitantly, the continuity of the tight junctional protein ZO-1 at the cell borders was improved and was associated with an increase in both ZO-1 and occludin expression. By contrast, the expression and distribution of adherens junctional proteins such as β-catenin and p100/p120 remained unchanged. These observations suggest that glucocorticoids induce a more differentiated BBB phenotype in cultured brain endothelial cells through modification of tight junction structure.","container-title":"Neuroscience Letters","DOI":"10.1016/S0304-3940(03)00348-3","ISSN":"0304-3940","issue":"2","journalAbbreviation":"Neuroscience Letters","language":"en","page":"112-116","source":"ScienceDirect","title":"Changes in cytoskeletal and tight junctional proteins correlate with decreased permeability induced by dexamethasone in cultured rat brain endothelial cells","volume":"344","author":[{"family":"Romero","given":"Ignacio A."},{"family":"Radewicz","given":"Katrina"},{"family":"Jubin","given":"Emmanuelle"},{"family":"Michel","given":"C. Charles"},{"family":"Greenwood","given":"John"},{"family":"Couraud","given":"Pierre-Olivier"},{"family":"Adamson","given":"Peter"}],"issued":{"date-parts":[["2003",6,26]]}}},{"id":1982,"uris":["http://zotero.org/users/6281125/items/9JZFBSA7"],"uri":["http://zotero.org/users/6281125/items/9JZFBSA7"],"itemData":{"id":1982,"type":"article-journal","language":"en","page":"8","source":"Zotero","title":"Relationship of SerinePThreonine PhosphorylatiodDephosphorylation Signaling to Glucocorticoid Regulation of Tight Junction Permeability andZO-1 Distribution in Nontransformed Mammary Epithelial Cells","author":[{"family":"Singer","given":"Karen L"},{"family":"StevensonOn","given":"BruceR"},{"family":"Woos","given":"Paul L"},{"family":"FirestoneSIl","given":"Gary L"}]}}],"schema":"https://github.com/citation-style-language/schema/raw/master/csl-citation.json"} </w:instrText>
      </w:r>
      <w:r>
        <w:rPr>
          <w:color w:val="000000" w:themeColor="text1"/>
        </w:rPr>
        <w:fldChar w:fldCharType="separate"/>
      </w:r>
      <w:r w:rsidR="00DA7707" w:rsidRPr="00DA7707">
        <w:rPr>
          <w:vertAlign w:val="superscript"/>
        </w:rPr>
        <w:t>140–142</w:t>
      </w:r>
      <w:r>
        <w:rPr>
          <w:color w:val="000000" w:themeColor="text1"/>
        </w:rPr>
        <w:fldChar w:fldCharType="end"/>
      </w:r>
      <w:r w:rsidR="00797EE4">
        <w:rPr>
          <w:color w:val="000000" w:themeColor="text1"/>
        </w:rPr>
        <w:t xml:space="preserve"> </w:t>
      </w:r>
      <w:r>
        <w:rPr>
          <w:color w:val="000000" w:themeColor="text1"/>
        </w:rPr>
        <w:t>Previous research in our group revealed decreases in ZO-1 transcript levels in rabbits subjected to acute phonotraumatic injury.</w:t>
      </w:r>
      <w:r w:rsidRPr="004614BB">
        <w:rPr>
          <w:color w:val="000000" w:themeColor="text1"/>
          <w:highlight w:val="yellow"/>
        </w:rPr>
        <w:fldChar w:fldCharType="begin"/>
      </w:r>
      <w:r w:rsidR="00DA7707">
        <w:rPr>
          <w:color w:val="000000" w:themeColor="text1"/>
          <w:highlight w:val="yellow"/>
        </w:rPr>
        <w:instrText xml:space="preserve"> ADDIN ZOTERO_ITEM CSL_CITATION {"citationID":"WLTln4Bc","properties":{"formattedCitation":"\\super 31,238\\nosupersub{}","plainCitation":"31,238","noteIndex":0},"citationItems":[{"id":162,"uris":["http://zotero.org/users/6281125/items/F955NIU5"],"uri":["http://zotero.org/users/6281125/items/F955NIU5"],"itemData":{"id":162,"type":"article-journal","container-title":"The Laryngoscope","DOI":"10.1002/lary.24827","ISSN":"0023852X","issue":"12","page":"2770–2778","title":"Effects of phonation time and magnitude dose on vocal fold epithelial genes, barrier integrity, and function","volume":"124","author":[{"family":"Kojima","given":"Tsuyoshi"},{"family":"Valenzuela","given":"Carla V."},{"family":"Novaleski","given":"Carolyn K."},{"family":"Van Deusen","given":"Mark"},{"family":"Mitchell","given":"Joshua R."},{"family":"Garrett","given":"C. Gaelyn"},{"family":"Sivasankar","given":"M. Preeti"},{"family":"Rousseau","given":"Bernard"}],"issued":{"date-parts":[["2014",12]]}}},{"id":53,"uris":["http://zotero.org/users/6281125/items/6RCBNRHY"],"uri":["http://zotero.org/users/6281125/items/6RCBNRHY"],"itemData":{"id":53,"type":"article-journal","abstract":"Objectives/Hypothesis: We investigated the hypothesis that 30 minutes of raised intensity phonation alters transcript levels of vocal fold intercellular tight junction proteins and disrupts the vocal fold epithelial barrier. Study Design: Prospective animal study. Methods: Eighteen New Zealand white breeder rabbits were randomly assigned to receive 30 minutes of raised intensity phonation or approximation of the vocal folds without phonation. Quantitative polymerase chain reaction (qPCR) was used to investigate transcript levels of the epithelial intercellular tight junction proteins, occludin and zonula occludin-1 (ZO-1), and the adherens junction proteins β-catenin and E-cadherin. Structural alterations to the vocal fold epithelium were further examined by scanning electron microscopy (SEM) and transmission electron microscopy (TEM). Results: Mann-Whitney U revealed significantly decreased occludin (P =.016) and β-catenin (P =.016) gene expression from rabbits undergoing raised intensity phonation compared with control. There were no significant differences in Z0-1 and E-cadherin gene expression between groups (P \\textgreater.025). SEM revealed significant obliteration, desquamation, and evidence of microhole formation in rabbit vocal folds exposed to raised intensity phonation compared with control, whereas TEM revealed dilated intercellular morphology between groups. Conclusions: Results provide support for the hypothesis that a transient episode of raised intensity phonation alters transcript levels of vocal fold intercellular tight junction proteins and disrupts integrity of the epithelial barrier. The loss of barrier integrity may have significant consequences on epithelial defenses and compromise protection of the underlying mucosa from damage secondary to prolonged vibration exposure. © 2011 The American Laryngological, Rhinological, and Otological Society, Inc.","container-title":"Laryngoscope","DOI":"10.1002/lary.21364","ISSN":"0023852X","issue":"2","page":"346-351","title":"Raised intensity phonation compromises vocal fold epithelial barrier integrity","volume":"121","author":[{"family":"Rousseau","given":"Bernard"},{"family":"Suehiro","given":"Atsushi"},{"family":"Echemendia","given":"Nicholas"},{"family":"Sivasankar","given":"Mahalakshmi"}],"issued":{"date-parts":[["2011"]]}}}],"schema":"https://github.com/citation-style-language/schema/raw/master/csl-citation.json"} </w:instrText>
      </w:r>
      <w:r w:rsidRPr="004614BB">
        <w:rPr>
          <w:color w:val="000000" w:themeColor="text1"/>
          <w:highlight w:val="yellow"/>
        </w:rPr>
        <w:fldChar w:fldCharType="separate"/>
      </w:r>
      <w:r w:rsidR="00DA7707" w:rsidRPr="00DA7707">
        <w:rPr>
          <w:vertAlign w:val="superscript"/>
        </w:rPr>
        <w:t>31,238</w:t>
      </w:r>
      <w:r w:rsidRPr="004614BB">
        <w:rPr>
          <w:color w:val="000000" w:themeColor="text1"/>
          <w:highlight w:val="yellow"/>
        </w:rPr>
        <w:fldChar w:fldCharType="end"/>
      </w:r>
      <w:r>
        <w:rPr>
          <w:color w:val="000000" w:themeColor="text1"/>
        </w:rPr>
        <w:t xml:space="preserve"> Similarly, a study by Shen et al.</w:t>
      </w:r>
      <w:r w:rsidRPr="00CD3F28">
        <w:rPr>
          <w:color w:val="000000" w:themeColor="text1"/>
          <w:highlight w:val="yellow"/>
        </w:rPr>
        <w:fldChar w:fldCharType="begin"/>
      </w:r>
      <w:r w:rsidR="00DA7707">
        <w:rPr>
          <w:color w:val="000000" w:themeColor="text1"/>
          <w:highlight w:val="yellow"/>
        </w:rPr>
        <w:instrText xml:space="preserve"> ADDIN ZOTERO_ITEM CSL_CITATION {"citationID":"d55cjhem","properties":{"formattedCitation":"\\super 249\\nosupersub{}","plainCitation":"249","noteIndex":0},"citationItems":[{"id":1966,"uris":["http://zotero.org/users/6281125/items/Z9GK2VE3"],"uri":["http://zotero.org/users/6281125/items/Z9GK2VE3"],"itemData":{"id":1966,"type":"article-journal","abstract":"AIM: To investigate the effect of bone-marrow mesenchymal stem cells (BM MSCs) on the intestinal mucosa barrier in ischemia/reperfusion (I/R) injury., METHODS: BM MSCs were isolated from male Sprague-Dawley rats by density gradient centrifugation, cultured, and analyzed by flow cytometry. I/R injury was induced by occlusion of the superior mesenteric artery for 30 min. Rats were treated with saline, BM MSCs (via intramucosal injection) or tumor necrosis factor (TNF)-α blocking antibodies (via the tail vein). I/R injury was assessed using transmission electron microscopy, hematoxylin and eosin (HE) staining, immunohistochemistry, western blotting and enzyme linked immunosorbent assay., RESULTS: Intestinal permeability increased, tight junctions (TJs) were disrupted, and zona occludens 1 (ZO-1) was downregulated after I/R injury. BM MSCs reduced intestinal mucosal barrier destruction, ZO-1 downregulation, and TJ disruption. The morphological abnormalities after intestinal I/R injury positively correlated with serum TNF-α levels. Administration of anti-TNF-α IgG or anti-TNF-α receptor 1 antibodies attenuated the intestinal ultrastructural changes, ZO-1 downregulation, and TJ disruption., CONCLUSION: Altered serum TNF-α levels play an important role in the ability of BM MSCs to protect against intestinal I/R injury.","container-title":"World Journal of Gastroenterology : WJG","DOI":"10.3748/wjg.v19.i23.3583","ISSN":"1007-9327","issue":"23","journalAbbreviation":"World J Gastroenterol","note":"PMID: 23801859\nPMCID: PMC3691049","page":"3583-3595","source":"PubMed Central","title":"Bone-marrow mesenchymal stem cells reduce rat intestinal ischemia-reperfusion injury, ZO-1 downregulation and tight junction disruption via a TNF-α-regulated mechanism","volume":"19","author":[{"family":"Shen","given":"Zhong-Yang"},{"family":"Zhang","given":"Jing"},{"family":"Song","given":"Hong-Li"},{"family":"Zheng","given":"Wei-Ping"}],"issued":{"date-parts":[["2013",6,21]]}}}],"schema":"https://github.com/citation-style-language/schema/raw/master/csl-citation.json"} </w:instrText>
      </w:r>
      <w:r w:rsidRPr="00CD3F28">
        <w:rPr>
          <w:color w:val="000000" w:themeColor="text1"/>
          <w:highlight w:val="yellow"/>
        </w:rPr>
        <w:fldChar w:fldCharType="separate"/>
      </w:r>
      <w:r w:rsidR="00DA7707" w:rsidRPr="00DA7707">
        <w:rPr>
          <w:vertAlign w:val="superscript"/>
        </w:rPr>
        <w:t>249</w:t>
      </w:r>
      <w:r w:rsidRPr="00CD3F28">
        <w:rPr>
          <w:color w:val="000000" w:themeColor="text1"/>
          <w:highlight w:val="yellow"/>
        </w:rPr>
        <w:fldChar w:fldCharType="end"/>
      </w:r>
      <w:r>
        <w:rPr>
          <w:color w:val="000000" w:themeColor="text1"/>
        </w:rPr>
        <w:t xml:space="preserve"> revealed significant decreases in ZO-1 expression in </w:t>
      </w:r>
      <w:r w:rsidRPr="00B15CD0">
        <w:rPr>
          <w:color w:val="000000" w:themeColor="text1"/>
        </w:rPr>
        <w:t xml:space="preserve">rat intestinal epithelium </w:t>
      </w:r>
      <w:r>
        <w:rPr>
          <w:color w:val="000000" w:themeColor="text1"/>
        </w:rPr>
        <w:t xml:space="preserve">after </w:t>
      </w:r>
      <w:r w:rsidRPr="00B15CD0">
        <w:rPr>
          <w:color w:val="000000" w:themeColor="text1"/>
        </w:rPr>
        <w:t xml:space="preserve">ischemia-reperfusion </w:t>
      </w:r>
      <w:r>
        <w:rPr>
          <w:color w:val="000000" w:themeColor="text1"/>
        </w:rPr>
        <w:t>injury. These decreases in ZO-1 expression are believed to result from the structural damage to the tissue, which may increase the size of paracellular spaces to allow entry of harmful</w:t>
      </w:r>
      <w:r w:rsidRPr="0020794F">
        <w:rPr>
          <w:color w:val="000000" w:themeColor="text1"/>
        </w:rPr>
        <w:t xml:space="preserve"> toxins and pathogens </w:t>
      </w:r>
      <w:r>
        <w:rPr>
          <w:color w:val="000000" w:themeColor="text1"/>
        </w:rPr>
        <w:t xml:space="preserve">that impede </w:t>
      </w:r>
      <w:r w:rsidR="000F22FE">
        <w:rPr>
          <w:color w:val="000000" w:themeColor="text1"/>
        </w:rPr>
        <w:t xml:space="preserve">the </w:t>
      </w:r>
      <w:r>
        <w:rPr>
          <w:color w:val="000000" w:themeColor="text1"/>
        </w:rPr>
        <w:t>homeostasis of the mucosa.</w:t>
      </w:r>
      <w:r>
        <w:rPr>
          <w:color w:val="000000" w:themeColor="text1"/>
        </w:rPr>
        <w:fldChar w:fldCharType="begin"/>
      </w:r>
      <w:r w:rsidR="00DA7707">
        <w:rPr>
          <w:color w:val="000000" w:themeColor="text1"/>
        </w:rPr>
        <w:instrText xml:space="preserve"> ADDIN ZOTERO_ITEM CSL_CITATION {"citationID":"NFlMbJhm","properties":{"formattedCitation":"\\super 250\\nosupersub{}","plainCitation":"250","noteIndex":0},"citationItems":[{"id":568,"uris":["http://zotero.org/users/6281125/items/VLSN5ZIE"],"uri":["http://zotero.org/users/6281125/items/VLSN5ZIE"],"itemData":{"id":568,"type":"article-journal","abstract":"Purpose: Vocal fold epithelium is composed of layers of individual epithelial cells joined by junctional complexes constituting a unique interface with the external environment. This barrier provides structural stability to the vocal folds and protects underlying connective tissue from injury while being nearly continuously exposed to potentially hazardous insults, including environmental or systemic-based irritants such as pollutants and reflux, surgical procedures, and vibratory trauma. Small disruptions in the epithelial barrier may have a large impact on susceptibility to injury and overall vocal health. The purpose of this article is to provide a broad-based review of current knowledge of the vocal fold epithelial barrier. Method: A comprehensive review of the literature was conducted. Details of the structure of the vocal fold epithelial barrier are presented and evaluated in the context of function in injury and pathology. The importance of the epithelial- associated vocal fold mucus barrier is also introduced. Results/Conclusions: Information presented in this review is valuable for clinicians and researchers as it highlights the importance of this understudied portion of the vocal folds to overall vocal health and disease. Prevention and treatment of injury to the epithelial barrier is a significant area awaiting further investigation. Key","container-title":"Journal of Speech, Language, and Hearing Research","DOI":"10.1044/2014","ISSN":"0161-1461, 0161-1461","issue":"June","note":"PMID: 24687097","page":"1679–1691","title":"Vocal fold epithelial barrier in health and injury: A research review","volume":"57","author":[{"family":"Erickson","given":"Elizabeth L"},{"family":"Leydon","given":"Ciara"},{"family":"Thibeault","given":"Susan L"}],"issued":{"date-parts":[["2014"]]}}}],"schema":"https://github.com/citation-style-language/schema/raw/master/csl-citation.json"} </w:instrText>
      </w:r>
      <w:r>
        <w:rPr>
          <w:color w:val="000000" w:themeColor="text1"/>
        </w:rPr>
        <w:fldChar w:fldCharType="separate"/>
      </w:r>
      <w:r w:rsidR="00DA7707" w:rsidRPr="00DA7707">
        <w:rPr>
          <w:vertAlign w:val="superscript"/>
        </w:rPr>
        <w:t>250</w:t>
      </w:r>
      <w:r>
        <w:rPr>
          <w:color w:val="000000" w:themeColor="text1"/>
        </w:rPr>
        <w:fldChar w:fldCharType="end"/>
      </w:r>
      <w:r>
        <w:rPr>
          <w:color w:val="000000" w:themeColor="text1"/>
        </w:rPr>
        <w:t xml:space="preserve"> Our findings reveal that dexamethasone may be a useful therapeutic in up-regulating ZO-1 for re</w:t>
      </w:r>
      <w:r w:rsidR="00DA4DB4">
        <w:rPr>
          <w:color w:val="000000" w:themeColor="text1"/>
        </w:rPr>
        <w:t>-</w:t>
      </w:r>
      <w:r>
        <w:rPr>
          <w:color w:val="000000" w:themeColor="text1"/>
        </w:rPr>
        <w:t>establishing and preserving a functional endothelial and epithelial barrier in VF tissue.</w:t>
      </w:r>
      <w:r w:rsidR="00A07149">
        <w:rPr>
          <w:color w:val="000000" w:themeColor="text1"/>
        </w:rPr>
        <w:t xml:space="preserve"> As stated previously in section 4.1, unpublished data in our laboratory revealed decreases in ZO-1 in the 14-days following </w:t>
      </w:r>
      <w:r w:rsidR="003F1096">
        <w:rPr>
          <w:color w:val="000000" w:themeColor="text1"/>
        </w:rPr>
        <w:t xml:space="preserve">intramuscular </w:t>
      </w:r>
      <w:r w:rsidR="00A07149">
        <w:rPr>
          <w:color w:val="000000" w:themeColor="text1"/>
        </w:rPr>
        <w:t>methylprednisolone injections</w:t>
      </w:r>
      <w:r w:rsidR="00372005">
        <w:rPr>
          <w:color w:val="000000" w:themeColor="text1"/>
        </w:rPr>
        <w:t>, which m</w:t>
      </w:r>
      <w:r w:rsidR="000A59D4">
        <w:rPr>
          <w:color w:val="000000" w:themeColor="text1"/>
        </w:rPr>
        <w:t>a</w:t>
      </w:r>
      <w:r w:rsidR="00372005">
        <w:rPr>
          <w:color w:val="000000" w:themeColor="text1"/>
        </w:rPr>
        <w:t xml:space="preserve">y be </w:t>
      </w:r>
      <w:r w:rsidR="00612FFB">
        <w:rPr>
          <w:color w:val="000000" w:themeColor="text1"/>
        </w:rPr>
        <w:t>detrimental</w:t>
      </w:r>
      <w:r w:rsidR="000A59D4">
        <w:rPr>
          <w:color w:val="000000" w:themeColor="text1"/>
        </w:rPr>
        <w:t xml:space="preserve"> to epithelial and epithelial barrier function</w:t>
      </w:r>
      <w:r w:rsidR="00372005">
        <w:rPr>
          <w:color w:val="000000" w:themeColor="text1"/>
        </w:rPr>
        <w:t xml:space="preserve">. </w:t>
      </w:r>
      <w:r w:rsidR="000707E7">
        <w:rPr>
          <w:color w:val="000000" w:themeColor="text1"/>
        </w:rPr>
        <w:t>However,</w:t>
      </w:r>
      <w:r w:rsidR="00372005">
        <w:rPr>
          <w:color w:val="000000" w:themeColor="text1"/>
        </w:rPr>
        <w:t xml:space="preserve"> </w:t>
      </w:r>
      <w:r w:rsidR="003F1096">
        <w:rPr>
          <w:color w:val="000000" w:themeColor="text1"/>
        </w:rPr>
        <w:t xml:space="preserve">the current study did not demonstrate </w:t>
      </w:r>
      <w:r w:rsidR="005E131A">
        <w:rPr>
          <w:color w:val="000000" w:themeColor="text1"/>
        </w:rPr>
        <w:t>any effects</w:t>
      </w:r>
      <w:r w:rsidR="00372005">
        <w:rPr>
          <w:color w:val="000000" w:themeColor="text1"/>
        </w:rPr>
        <w:t xml:space="preserve"> of </w:t>
      </w:r>
      <w:r w:rsidR="00B97EFF">
        <w:rPr>
          <w:color w:val="000000" w:themeColor="text1"/>
        </w:rPr>
        <w:t>methylprednisolone</w:t>
      </w:r>
      <w:r w:rsidR="00372005">
        <w:rPr>
          <w:color w:val="000000" w:themeColor="text1"/>
        </w:rPr>
        <w:t xml:space="preserve"> on ZO-1 </w:t>
      </w:r>
      <w:r w:rsidR="005E131A">
        <w:rPr>
          <w:color w:val="000000" w:themeColor="text1"/>
        </w:rPr>
        <w:t>in the 7-days following treatment.</w:t>
      </w:r>
    </w:p>
    <w:p w14:paraId="70ECE0B9" w14:textId="60986263" w:rsidR="00266D25" w:rsidRDefault="00266D25" w:rsidP="00266D25">
      <w:pPr>
        <w:rPr>
          <w:color w:val="000000" w:themeColor="text1"/>
        </w:rPr>
      </w:pPr>
      <w:r>
        <w:rPr>
          <w:color w:val="000000" w:themeColor="text1"/>
        </w:rPr>
        <w:t xml:space="preserve">The potential anti-angiogenic properties of GCs led </w:t>
      </w:r>
      <w:r w:rsidR="00F13F1A">
        <w:rPr>
          <w:color w:val="000000" w:themeColor="text1"/>
        </w:rPr>
        <w:t>to</w:t>
      </w:r>
      <w:r w:rsidR="00270544">
        <w:rPr>
          <w:color w:val="000000" w:themeColor="text1"/>
        </w:rPr>
        <w:t xml:space="preserve"> the</w:t>
      </w:r>
      <w:r w:rsidR="00F13F1A">
        <w:rPr>
          <w:color w:val="000000" w:themeColor="text1"/>
        </w:rPr>
        <w:t xml:space="preserve"> </w:t>
      </w:r>
      <w:r w:rsidR="00270544">
        <w:rPr>
          <w:color w:val="000000" w:themeColor="text1"/>
        </w:rPr>
        <w:t xml:space="preserve">investigation </w:t>
      </w:r>
      <w:r w:rsidR="00BA5A97">
        <w:rPr>
          <w:color w:val="000000" w:themeColor="text1"/>
        </w:rPr>
        <w:t xml:space="preserve">of this phenomenon </w:t>
      </w:r>
      <w:r>
        <w:rPr>
          <w:color w:val="000000" w:themeColor="text1"/>
        </w:rPr>
        <w:t>in VF tissue, which may</w:t>
      </w:r>
      <w:r w:rsidR="00BA5A97">
        <w:rPr>
          <w:color w:val="000000" w:themeColor="text1"/>
        </w:rPr>
        <w:t xml:space="preserve"> be</w:t>
      </w:r>
      <w:r>
        <w:rPr>
          <w:color w:val="000000" w:themeColor="text1"/>
        </w:rPr>
        <w:t xml:space="preserve"> </w:t>
      </w:r>
      <w:r w:rsidR="00BA5A97">
        <w:rPr>
          <w:color w:val="000000" w:themeColor="text1"/>
        </w:rPr>
        <w:t>detrimental to</w:t>
      </w:r>
      <w:r>
        <w:rPr>
          <w:color w:val="000000" w:themeColor="text1"/>
        </w:rPr>
        <w:t xml:space="preserve"> the</w:t>
      </w:r>
      <w:r w:rsidR="00BA5A97">
        <w:rPr>
          <w:color w:val="000000" w:themeColor="text1"/>
        </w:rPr>
        <w:t xml:space="preserve"> VF</w:t>
      </w:r>
      <w:r>
        <w:rPr>
          <w:color w:val="000000" w:themeColor="text1"/>
        </w:rPr>
        <w:t xml:space="preserve"> wound healing process</w:t>
      </w:r>
      <w:r w:rsidR="00270544">
        <w:rPr>
          <w:color w:val="000000" w:themeColor="text1"/>
        </w:rPr>
        <w:t>.</w:t>
      </w:r>
      <w:r>
        <w:rPr>
          <w:color w:val="000000" w:themeColor="text1"/>
        </w:rPr>
        <w:t xml:space="preserve"> </w:t>
      </w:r>
      <w:r w:rsidR="00270544">
        <w:rPr>
          <w:color w:val="000000" w:themeColor="text1"/>
        </w:rPr>
        <w:t>H</w:t>
      </w:r>
      <w:r>
        <w:rPr>
          <w:color w:val="000000" w:themeColor="text1"/>
        </w:rPr>
        <w:t xml:space="preserve">owever, </w:t>
      </w:r>
      <w:r w:rsidR="00F13F1A">
        <w:rPr>
          <w:color w:val="000000" w:themeColor="text1"/>
        </w:rPr>
        <w:t>the</w:t>
      </w:r>
      <w:r>
        <w:rPr>
          <w:color w:val="000000" w:themeColor="text1"/>
        </w:rPr>
        <w:t xml:space="preserve"> current study did not find any effects of GCs on VF tissue vascularity using the endothelial marker CD31.</w:t>
      </w:r>
      <w:r w:rsidR="00BB6EEE">
        <w:rPr>
          <w:color w:val="000000" w:themeColor="text1"/>
        </w:rPr>
        <w:t xml:space="preserve"> Interestingly, unpublished data from our laboratory </w:t>
      </w:r>
      <w:r w:rsidR="004538DA">
        <w:rPr>
          <w:color w:val="000000" w:themeColor="text1"/>
        </w:rPr>
        <w:t>observed an increase in CD31</w:t>
      </w:r>
      <w:r w:rsidR="00A74F58">
        <w:rPr>
          <w:color w:val="000000" w:themeColor="text1"/>
        </w:rPr>
        <w:t xml:space="preserve"> fluorescence</w:t>
      </w:r>
      <w:r w:rsidR="0002372B">
        <w:rPr>
          <w:color w:val="000000" w:themeColor="text1"/>
        </w:rPr>
        <w:t xml:space="preserve"> expression</w:t>
      </w:r>
      <w:r w:rsidR="00A74F58">
        <w:rPr>
          <w:color w:val="000000" w:themeColor="text1"/>
        </w:rPr>
        <w:t xml:space="preserve"> in rabbit VFs 14-days after 6</w:t>
      </w:r>
      <w:r w:rsidR="00517C9F">
        <w:rPr>
          <w:color w:val="000000" w:themeColor="text1"/>
        </w:rPr>
        <w:t>-</w:t>
      </w:r>
      <w:r w:rsidR="00A74F58">
        <w:rPr>
          <w:color w:val="000000" w:themeColor="text1"/>
        </w:rPr>
        <w:t>daily intramuscular injection</w:t>
      </w:r>
      <w:r w:rsidR="00824E7F">
        <w:rPr>
          <w:color w:val="000000" w:themeColor="text1"/>
        </w:rPr>
        <w:t>s</w:t>
      </w:r>
      <w:r w:rsidR="00A74F58">
        <w:rPr>
          <w:color w:val="000000" w:themeColor="text1"/>
        </w:rPr>
        <w:t xml:space="preserve"> of methylprednisolone. Although the current study did not observe any changes in</w:t>
      </w:r>
      <w:r w:rsidR="007B2C48">
        <w:rPr>
          <w:color w:val="000000" w:themeColor="text1"/>
        </w:rPr>
        <w:t xml:space="preserve"> CD31 during</w:t>
      </w:r>
      <w:r w:rsidR="00A74F58">
        <w:rPr>
          <w:color w:val="000000" w:themeColor="text1"/>
        </w:rPr>
        <w:t xml:space="preserve"> the 7-days following intramuscular methylprednisolone injections,</w:t>
      </w:r>
      <w:r w:rsidR="007B2C48">
        <w:rPr>
          <w:color w:val="000000" w:themeColor="text1"/>
        </w:rPr>
        <w:t xml:space="preserve"> </w:t>
      </w:r>
      <w:r w:rsidR="00AB48C2">
        <w:rPr>
          <w:color w:val="000000" w:themeColor="text1"/>
        </w:rPr>
        <w:t>it may be that the</w:t>
      </w:r>
      <w:r w:rsidR="007B2C48">
        <w:rPr>
          <w:color w:val="000000" w:themeColor="text1"/>
        </w:rPr>
        <w:t xml:space="preserve"> </w:t>
      </w:r>
      <w:r w:rsidR="00AB48C2">
        <w:rPr>
          <w:color w:val="000000" w:themeColor="text1"/>
        </w:rPr>
        <w:t>pro-vascular</w:t>
      </w:r>
      <w:r w:rsidR="007B2C48">
        <w:rPr>
          <w:color w:val="000000" w:themeColor="text1"/>
        </w:rPr>
        <w:t xml:space="preserve"> effects of this GC may </w:t>
      </w:r>
      <w:r w:rsidR="00CE1389">
        <w:rPr>
          <w:color w:val="000000" w:themeColor="text1"/>
        </w:rPr>
        <w:t>only be apparent in the weeks following treatment</w:t>
      </w:r>
      <w:r w:rsidR="00AB48C2">
        <w:rPr>
          <w:color w:val="000000" w:themeColor="text1"/>
        </w:rPr>
        <w:t>. Increased vascularity</w:t>
      </w:r>
      <w:r w:rsidR="00611CF8">
        <w:rPr>
          <w:color w:val="000000" w:themeColor="text1"/>
        </w:rPr>
        <w:t xml:space="preserve"> - in combination</w:t>
      </w:r>
      <w:r w:rsidR="00612FFB">
        <w:rPr>
          <w:color w:val="000000" w:themeColor="text1"/>
        </w:rPr>
        <w:t xml:space="preserve"> with </w:t>
      </w:r>
      <w:r w:rsidR="00611CF8">
        <w:rPr>
          <w:color w:val="000000" w:themeColor="text1"/>
        </w:rPr>
        <w:t>the unpublished findings</w:t>
      </w:r>
      <w:r w:rsidR="00B97EFF">
        <w:rPr>
          <w:color w:val="000000" w:themeColor="text1"/>
        </w:rPr>
        <w:t xml:space="preserve"> </w:t>
      </w:r>
      <w:r w:rsidR="00611CF8">
        <w:rPr>
          <w:color w:val="000000" w:themeColor="text1"/>
        </w:rPr>
        <w:t xml:space="preserve">of </w:t>
      </w:r>
      <w:r w:rsidR="00B97EFF">
        <w:rPr>
          <w:color w:val="000000" w:themeColor="text1"/>
        </w:rPr>
        <w:t>reduced ZO-1 i</w:t>
      </w:r>
      <w:r w:rsidR="00AB48C2">
        <w:rPr>
          <w:color w:val="000000" w:themeColor="text1"/>
        </w:rPr>
        <w:t>n</w:t>
      </w:r>
      <w:r w:rsidR="0082792E">
        <w:rPr>
          <w:color w:val="000000" w:themeColor="text1"/>
        </w:rPr>
        <w:t xml:space="preserve"> the VF of</w:t>
      </w:r>
      <w:r w:rsidR="00AB48C2">
        <w:rPr>
          <w:color w:val="000000" w:themeColor="text1"/>
        </w:rPr>
        <w:t xml:space="preserve"> </w:t>
      </w:r>
      <w:r w:rsidR="0082792E">
        <w:rPr>
          <w:color w:val="000000" w:themeColor="text1"/>
        </w:rPr>
        <w:t>methylprednisolone</w:t>
      </w:r>
      <w:r w:rsidR="000F22FE">
        <w:rPr>
          <w:color w:val="000000" w:themeColor="text1"/>
        </w:rPr>
        <w:t>-</w:t>
      </w:r>
      <w:r w:rsidR="0082792E">
        <w:rPr>
          <w:color w:val="000000" w:themeColor="text1"/>
        </w:rPr>
        <w:t xml:space="preserve">treated rabbits </w:t>
      </w:r>
      <w:r w:rsidR="00F247C8">
        <w:rPr>
          <w:color w:val="000000" w:themeColor="text1"/>
        </w:rPr>
        <w:t>- may</w:t>
      </w:r>
      <w:r w:rsidR="00AB48C2">
        <w:rPr>
          <w:color w:val="000000" w:themeColor="text1"/>
        </w:rPr>
        <w:t xml:space="preserve"> </w:t>
      </w:r>
      <w:r w:rsidR="00FF7196">
        <w:rPr>
          <w:color w:val="000000" w:themeColor="text1"/>
        </w:rPr>
        <w:t>lead to</w:t>
      </w:r>
      <w:r w:rsidR="00F247C8">
        <w:rPr>
          <w:color w:val="000000" w:themeColor="text1"/>
        </w:rPr>
        <w:t xml:space="preserve"> a</w:t>
      </w:r>
      <w:r w:rsidR="00FF7196">
        <w:rPr>
          <w:color w:val="000000" w:themeColor="text1"/>
        </w:rPr>
        <w:t xml:space="preserve"> greater likelihood of </w:t>
      </w:r>
      <w:r w:rsidR="00316F49">
        <w:rPr>
          <w:color w:val="000000" w:themeColor="text1"/>
        </w:rPr>
        <w:t>damage to vessels and VF</w:t>
      </w:r>
      <w:r w:rsidR="00FF7196">
        <w:rPr>
          <w:color w:val="000000" w:themeColor="text1"/>
        </w:rPr>
        <w:t xml:space="preserve"> </w:t>
      </w:r>
      <w:r w:rsidR="00612FFB">
        <w:rPr>
          <w:color w:val="000000" w:themeColor="text1"/>
        </w:rPr>
        <w:t>hemorrhag</w:t>
      </w:r>
      <w:r w:rsidR="00611CF8">
        <w:rPr>
          <w:color w:val="000000" w:themeColor="text1"/>
        </w:rPr>
        <w:t>e</w:t>
      </w:r>
      <w:r w:rsidR="00316F49">
        <w:rPr>
          <w:color w:val="000000" w:themeColor="text1"/>
        </w:rPr>
        <w:t>.</w:t>
      </w:r>
    </w:p>
    <w:p w14:paraId="1F9AFBC3" w14:textId="7D33B2D8" w:rsidR="002A6129" w:rsidRDefault="00266D25" w:rsidP="00AA4838">
      <w:pPr>
        <w:rPr>
          <w:color w:val="000000" w:themeColor="text1"/>
        </w:rPr>
      </w:pPr>
      <w:r>
        <w:rPr>
          <w:color w:val="000000" w:themeColor="text1"/>
        </w:rPr>
        <w:t>Some studies suggest that repeated GC treatment is associated with decreased expression of GCR.</w:t>
      </w:r>
      <w:r w:rsidRPr="003B5856">
        <w:rPr>
          <w:color w:val="000000" w:themeColor="text1"/>
          <w:highlight w:val="yellow"/>
        </w:rPr>
        <w:fldChar w:fldCharType="begin"/>
      </w:r>
      <w:r w:rsidR="00DA7707">
        <w:rPr>
          <w:color w:val="000000" w:themeColor="text1"/>
          <w:highlight w:val="yellow"/>
        </w:rPr>
        <w:instrText xml:space="preserve"> ADDIN ZOTERO_ITEM CSL_CITATION {"citationID":"JzHw5e8x","properties":{"formattedCitation":"\\super 151\\nosupersub{}","plainCitation":"151","noteIndex":0},"citationItems":[{"id":1999,"uris":["http://zotero.org/users/6281125/items/53ZQLMII"],"uri":["http://zotero.org/users/6281125/items/53ZQLMII"],"itemData":{"id":1999,"type":"article-journal","abstract":"OBJECTIVE: To evaluate the expression of glucocorticoid receptors (GCR) in lymphocytes (CD3/ GCR) and monocytes (CD14/GCR) in children with nephrotic syndrome (NS).\nPATIENTS: The patients were divided into two groups: group I: 17 children with the first NS attack, and group II: 17 children with a subsequent NS event. In both groups, examinations were carried out before treatment (A) and after albuminuria disappearance during prednisone treatment (B). The control group (C) consisted of 23 healthy children, never treated with glucocorticosteroids.\nMETHODS: Flow cytometry was employed twice to determine the number of CD3+ lymphocytes and CD14+ monocytes and the percentage of CD3/GCR+ and CD14/GCR+ cells.\nRESULTS: In group I, the expression of CD3/GCR before treatment (A) decreased during prednisone therapy (B) (p &lt; 0.01), but CD14/GCR did not change. In group II, before treatment (A), both CD3/GCR and CD14/GCR were markedly lower compared to the controls and group I. In examination B, both CD3/GCR and CD14/GCR had decreased.\nCONCLUSION: A low number of GCR might confer a worse response to glucocorticoid therapy. Longitudinal studies should be performed on larger groups of children with their first and subsequent nephrotic syndome attacks.","container-title":"Journal of pediatric endocrinology &amp; metabolism: JPEM","DOI":"10.1515/jpem.2005.18.8.799","ISSN":"0334-018X","issue":"8","journalAbbreviation":"J. Pediatr. Endocrinol. Metab.","language":"eng","note":"PMID: 16200847","page":"799-806","source":"PubMed","title":"Expression of glucocorticoid receptors in nephrotic children depending on total prednisone dose","volume":"18","author":[{"family":"Wasilewska","given":"Anna"},{"family":"Zoch-Zwierz","given":"Walentyna"}],"issued":{"date-parts":[["2005",8]]}}}],"schema":"https://github.com/citation-style-language/schema/raw/master/csl-citation.json"} </w:instrText>
      </w:r>
      <w:r w:rsidRPr="003B5856">
        <w:rPr>
          <w:color w:val="000000" w:themeColor="text1"/>
          <w:highlight w:val="yellow"/>
        </w:rPr>
        <w:fldChar w:fldCharType="separate"/>
      </w:r>
      <w:r w:rsidR="00DA7707" w:rsidRPr="00DA7707">
        <w:rPr>
          <w:vertAlign w:val="superscript"/>
        </w:rPr>
        <w:t>151</w:t>
      </w:r>
      <w:r w:rsidRPr="003B5856">
        <w:rPr>
          <w:color w:val="000000" w:themeColor="text1"/>
          <w:highlight w:val="yellow"/>
        </w:rPr>
        <w:fldChar w:fldCharType="end"/>
      </w:r>
      <w:r w:rsidRPr="00A5368D">
        <w:rPr>
          <w:color w:val="000000" w:themeColor="text1"/>
        </w:rPr>
        <w:t xml:space="preserve"> </w:t>
      </w:r>
      <w:r w:rsidRPr="003D59A3">
        <w:rPr>
          <w:color w:val="000000" w:themeColor="text1"/>
        </w:rPr>
        <w:t>In</w:t>
      </w:r>
      <w:r>
        <w:rPr>
          <w:color w:val="000000" w:themeColor="text1"/>
        </w:rPr>
        <w:t xml:space="preserve"> the current study</w:t>
      </w:r>
      <w:r w:rsidR="00DC56FB">
        <w:rPr>
          <w:color w:val="000000" w:themeColor="text1"/>
        </w:rPr>
        <w:t>,</w:t>
      </w:r>
      <w:r>
        <w:rPr>
          <w:color w:val="000000" w:themeColor="text1"/>
        </w:rPr>
        <w:t xml:space="preserve"> </w:t>
      </w:r>
      <w:r w:rsidR="00755737">
        <w:rPr>
          <w:color w:val="000000" w:themeColor="text1"/>
        </w:rPr>
        <w:t xml:space="preserve">there </w:t>
      </w:r>
      <w:r w:rsidR="004938E7">
        <w:rPr>
          <w:color w:val="000000" w:themeColor="text1"/>
        </w:rPr>
        <w:t>were</w:t>
      </w:r>
      <w:r w:rsidR="00755737">
        <w:rPr>
          <w:color w:val="000000" w:themeColor="text1"/>
        </w:rPr>
        <w:t xml:space="preserve"> no observed</w:t>
      </w:r>
      <w:r>
        <w:rPr>
          <w:color w:val="000000" w:themeColor="text1"/>
        </w:rPr>
        <w:t xml:space="preserve"> changes in GCR</w:t>
      </w:r>
      <w:r w:rsidR="0097369C">
        <w:rPr>
          <w:color w:val="000000" w:themeColor="text1"/>
        </w:rPr>
        <w:t xml:space="preserve"> </w:t>
      </w:r>
      <w:r w:rsidR="009978B5">
        <w:rPr>
          <w:color w:val="000000" w:themeColor="text1"/>
        </w:rPr>
        <w:t>fluorescence</w:t>
      </w:r>
      <w:r w:rsidR="0097369C">
        <w:rPr>
          <w:color w:val="000000" w:themeColor="text1"/>
        </w:rPr>
        <w:t xml:space="preserve"> expression</w:t>
      </w:r>
      <w:r>
        <w:rPr>
          <w:color w:val="000000" w:themeColor="text1"/>
        </w:rPr>
        <w:t xml:space="preserve"> in VF tissue after repeated systemic treatment of dexamethasone or methylprednisolone, indicating that the </w:t>
      </w:r>
      <w:r w:rsidRPr="008F69E2">
        <w:rPr>
          <w:color w:val="000000" w:themeColor="text1"/>
        </w:rPr>
        <w:t xml:space="preserve">anti-inflammatory and immunosuppressive properties of </w:t>
      </w:r>
      <w:r>
        <w:rPr>
          <w:color w:val="000000" w:themeColor="text1"/>
        </w:rPr>
        <w:t>these GCs are likely still</w:t>
      </w:r>
      <w:r w:rsidRPr="008F69E2">
        <w:rPr>
          <w:color w:val="000000" w:themeColor="text1"/>
        </w:rPr>
        <w:t xml:space="preserve"> maintained </w:t>
      </w:r>
      <w:r w:rsidR="007C5681">
        <w:rPr>
          <w:color w:val="000000" w:themeColor="text1"/>
        </w:rPr>
        <w:t xml:space="preserve">in the week </w:t>
      </w:r>
      <w:r w:rsidRPr="008F69E2">
        <w:rPr>
          <w:color w:val="000000" w:themeColor="text1"/>
        </w:rPr>
        <w:t xml:space="preserve">after </w:t>
      </w:r>
      <w:r>
        <w:rPr>
          <w:color w:val="000000" w:themeColor="text1"/>
        </w:rPr>
        <w:t>6</w:t>
      </w:r>
      <w:r w:rsidR="0097369C">
        <w:rPr>
          <w:color w:val="000000" w:themeColor="text1"/>
        </w:rPr>
        <w:t>-</w:t>
      </w:r>
      <w:r>
        <w:rPr>
          <w:color w:val="000000" w:themeColor="text1"/>
        </w:rPr>
        <w:t>daily intramuscular injections.</w:t>
      </w:r>
      <w:r w:rsidRPr="008F69E2">
        <w:rPr>
          <w:color w:val="000000" w:themeColor="text1"/>
        </w:rPr>
        <w:t xml:space="preserve"> </w:t>
      </w:r>
    </w:p>
    <w:p w14:paraId="31A768B4" w14:textId="27A93E8F" w:rsidR="00A54231" w:rsidRDefault="00C45DC8" w:rsidP="00612503">
      <w:pPr>
        <w:pStyle w:val="Heading2"/>
      </w:pPr>
      <w:bookmarkStart w:id="124" w:name="_Toc88218568"/>
      <w:r w:rsidRPr="00C45DC8">
        <w:t xml:space="preserve">Occurrence </w:t>
      </w:r>
      <w:r w:rsidR="0036506F">
        <w:t>o</w:t>
      </w:r>
      <w:r w:rsidRPr="00C45DC8">
        <w:t xml:space="preserve">f Vocal Fold Atrophy </w:t>
      </w:r>
      <w:r w:rsidR="0036506F">
        <w:t>A</w:t>
      </w:r>
      <w:r w:rsidRPr="00C45DC8">
        <w:t>fter Intracordal Dexamethasone Injectio</w:t>
      </w:r>
      <w:r>
        <w:t>n</w:t>
      </w:r>
      <w:bookmarkEnd w:id="124"/>
      <w:r w:rsidR="00A54231">
        <w:t xml:space="preserve"> </w:t>
      </w:r>
    </w:p>
    <w:p w14:paraId="2EEDC828" w14:textId="77777777" w:rsidR="0075071C" w:rsidRPr="002E5426" w:rsidRDefault="00612503" w:rsidP="00667E34">
      <w:pPr>
        <w:ind w:left="1" w:firstLine="719"/>
      </w:pPr>
      <w:bookmarkStart w:id="125" w:name="_Hlk86045115"/>
      <w:r>
        <w:t xml:space="preserve">Glucocorticoid injections have been associated with skeletal muscle atrophy </w:t>
      </w:r>
      <w:r w:rsidR="004A3DAF">
        <w:t xml:space="preserve">in multiple </w:t>
      </w:r>
      <w:r w:rsidR="00364813">
        <w:t xml:space="preserve">tissue types and models, </w:t>
      </w:r>
      <w:r w:rsidR="004A3DAF">
        <w:t>including</w:t>
      </w:r>
      <w:r w:rsidR="00364813">
        <w:t xml:space="preserve"> the</w:t>
      </w:r>
      <w:r w:rsidR="004A3DAF">
        <w:t xml:space="preserve"> VF</w:t>
      </w:r>
      <w:r w:rsidR="00364813">
        <w:t>s</w:t>
      </w:r>
      <w:r w:rsidR="004A3DAF">
        <w:t>. With the frequency of GC</w:t>
      </w:r>
      <w:r w:rsidR="004D660E">
        <w:t xml:space="preserve"> </w:t>
      </w:r>
      <w:r w:rsidR="004A3DAF">
        <w:t xml:space="preserve">use for laryngeal indications, particularly dexamethasone, it </w:t>
      </w:r>
      <w:r w:rsidR="00600AB1">
        <w:t>was</w:t>
      </w:r>
      <w:r w:rsidR="004A3DAF">
        <w:t xml:space="preserve"> </w:t>
      </w:r>
      <w:r w:rsidR="00600AB1">
        <w:t>imperative</w:t>
      </w:r>
      <w:r w:rsidR="004A3DAF">
        <w:t xml:space="preserve"> that </w:t>
      </w:r>
      <w:r w:rsidR="007913DC">
        <w:t xml:space="preserve">the </w:t>
      </w:r>
      <w:r w:rsidR="00161E70">
        <w:t>potential</w:t>
      </w:r>
      <w:r w:rsidR="007913DC">
        <w:t xml:space="preserve"> </w:t>
      </w:r>
      <w:r w:rsidR="00364813">
        <w:t>of GC</w:t>
      </w:r>
      <w:r w:rsidR="000F22FE">
        <w:t>-</w:t>
      </w:r>
      <w:r w:rsidR="00364813">
        <w:t>induced VF atrophy</w:t>
      </w:r>
      <w:r w:rsidR="00600AB1">
        <w:t xml:space="preserve"> be</w:t>
      </w:r>
      <w:r w:rsidR="00755639">
        <w:t xml:space="preserve"> </w:t>
      </w:r>
      <w:r w:rsidR="00600AB1">
        <w:t>investigat</w:t>
      </w:r>
      <w:r w:rsidR="00444434">
        <w:t>ed</w:t>
      </w:r>
      <w:r w:rsidR="00755639">
        <w:t xml:space="preserve"> further</w:t>
      </w:r>
      <w:r w:rsidR="00600AB1">
        <w:t xml:space="preserve"> </w:t>
      </w:r>
      <w:r w:rsidR="004662EC">
        <w:t xml:space="preserve">using a </w:t>
      </w:r>
      <w:r w:rsidR="00317041">
        <w:t>well-established</w:t>
      </w:r>
      <w:r w:rsidR="004662EC">
        <w:t xml:space="preserve">, controlled, </w:t>
      </w:r>
      <w:r w:rsidR="004662EC" w:rsidRPr="00317041">
        <w:rPr>
          <w:i/>
          <w:iCs/>
        </w:rPr>
        <w:t>in-vivo</w:t>
      </w:r>
      <w:r w:rsidR="004662EC">
        <w:t xml:space="preserve"> experimental paradigm.</w:t>
      </w:r>
      <w:r w:rsidR="00317041">
        <w:t xml:space="preserve"> </w:t>
      </w:r>
      <w:r w:rsidR="001E20EB">
        <w:t>In the current study, there was no evidence of GC</w:t>
      </w:r>
      <w:r w:rsidR="000F22FE">
        <w:t>-</w:t>
      </w:r>
      <w:r w:rsidR="001E20EB">
        <w:t>induced atrophy</w:t>
      </w:r>
      <w:r w:rsidR="004D660E">
        <w:t>.</w:t>
      </w:r>
      <w:r w:rsidR="001E20EB">
        <w:t xml:space="preserve"> </w:t>
      </w:r>
      <w:r w:rsidR="004D660E">
        <w:t>This finding was</w:t>
      </w:r>
      <w:r w:rsidR="001E20EB">
        <w:t xml:space="preserve"> </w:t>
      </w:r>
      <w:r w:rsidR="001E20EB" w:rsidRPr="002E5426">
        <w:t xml:space="preserve">determined </w:t>
      </w:r>
      <w:r w:rsidR="004D660E" w:rsidRPr="002E5426">
        <w:t xml:space="preserve">from </w:t>
      </w:r>
      <w:r w:rsidR="001E20EB" w:rsidRPr="002E5426">
        <w:t>no</w:t>
      </w:r>
      <w:r w:rsidR="004D660E" w:rsidRPr="002E5426">
        <w:t xml:space="preserve"> observed</w:t>
      </w:r>
      <w:r w:rsidR="001E20EB" w:rsidRPr="002E5426">
        <w:t xml:space="preserve"> changes in atrophy</w:t>
      </w:r>
      <w:r w:rsidR="000F22FE" w:rsidRPr="002E5426">
        <w:t>-</w:t>
      </w:r>
      <w:r w:rsidR="00EB2667" w:rsidRPr="002E5426">
        <w:t>associated</w:t>
      </w:r>
      <w:r w:rsidR="001E20EB" w:rsidRPr="002E5426">
        <w:t xml:space="preserve"> genes</w:t>
      </w:r>
      <w:r w:rsidR="00364813" w:rsidRPr="002E5426">
        <w:t xml:space="preserve"> </w:t>
      </w:r>
      <w:r w:rsidR="00A40813" w:rsidRPr="002E5426">
        <w:t xml:space="preserve">or </w:t>
      </w:r>
      <w:r w:rsidR="00364813" w:rsidRPr="002E5426">
        <w:t>TA morphological changes</w:t>
      </w:r>
      <w:r w:rsidR="001E20EB" w:rsidRPr="002E5426">
        <w:t xml:space="preserve"> </w:t>
      </w:r>
      <w:r w:rsidR="00EB2667" w:rsidRPr="002E5426">
        <w:t xml:space="preserve">between </w:t>
      </w:r>
      <w:r w:rsidR="000F22FE" w:rsidRPr="002E5426">
        <w:t xml:space="preserve">the </w:t>
      </w:r>
      <w:r w:rsidR="00EB2667" w:rsidRPr="002E5426">
        <w:t>treatment group and controls</w:t>
      </w:r>
      <w:r w:rsidR="00364813" w:rsidRPr="002E5426">
        <w:t xml:space="preserve">. </w:t>
      </w:r>
    </w:p>
    <w:p w14:paraId="1CA4834A" w14:textId="77822DFF" w:rsidR="00667E34" w:rsidRPr="00667E34" w:rsidRDefault="00667E34" w:rsidP="00667E34">
      <w:pPr>
        <w:ind w:left="1" w:firstLine="719"/>
        <w:rPr>
          <w:b/>
          <w:bCs/>
          <w:color w:val="000000" w:themeColor="text1"/>
        </w:rPr>
      </w:pPr>
      <w:bookmarkStart w:id="126" w:name="_Hlk86132574"/>
      <w:r w:rsidRPr="002E5426">
        <w:rPr>
          <w:color w:val="000000" w:themeColor="text1"/>
        </w:rPr>
        <w:t>A single intracordal injection of dexamethasone has been clinically utilized and shown to improve subjective voice measures</w:t>
      </w:r>
      <w:r w:rsidRPr="002E5426">
        <w:rPr>
          <w:color w:val="000000" w:themeColor="text1"/>
        </w:rPr>
        <w:fldChar w:fldCharType="begin"/>
      </w:r>
      <w:r w:rsidR="00DA7707">
        <w:rPr>
          <w:color w:val="000000" w:themeColor="text1"/>
        </w:rPr>
        <w:instrText xml:space="preserve"> ADDIN ZOTERO_ITEM CSL_CITATION {"citationID":"QYGTOhc1","properties":{"formattedCitation":"\\super 251\\nosupersub{}","plainCitation":"251","noteIndex":0},"citationItems":[{"id":2643,"uris":["http://zotero.org/users/6281125/items/6G66KD8Q"],"uri":["http://zotero.org/users/6281125/items/6G66KD8Q"],"itemData":{"id":2643,"type":"article-journal","container-title":"Journal of Otolaryngology-Head &amp; Neck Surgery","ISSN":"1916-0216","issue":"1","journalAbbreviation":"Journal of Otolaryngology-Head &amp; Neck Surgery","note":"publisher: BioMed Central","page":"1-7","title":"The role of steroid injection for vocal folds lesions in professional voice users","volume":"49","author":[{"family":"Al-Ali","given":"Mohamed"},{"family":"Anderson","given":"Jennifer"}],"issued":{"date-parts":[["2020"]]}}}],"schema":"https://github.com/citation-style-language/schema/raw/master/csl-citation.json"} </w:instrText>
      </w:r>
      <w:r w:rsidRPr="002E5426">
        <w:rPr>
          <w:color w:val="000000" w:themeColor="text1"/>
        </w:rPr>
        <w:fldChar w:fldCharType="separate"/>
      </w:r>
      <w:r w:rsidR="00DA7707" w:rsidRPr="00DA7707">
        <w:rPr>
          <w:vertAlign w:val="superscript"/>
        </w:rPr>
        <w:t>251</w:t>
      </w:r>
      <w:r w:rsidRPr="002E5426">
        <w:rPr>
          <w:color w:val="000000" w:themeColor="text1"/>
        </w:rPr>
        <w:fldChar w:fldCharType="end"/>
      </w:r>
      <w:r w:rsidRPr="002E5426">
        <w:rPr>
          <w:color w:val="000000" w:themeColor="text1"/>
        </w:rPr>
        <w:t xml:space="preserve"> objective voice measures, and lesion size.</w:t>
      </w:r>
      <w:r w:rsidRPr="002E5426">
        <w:rPr>
          <w:color w:val="000000" w:themeColor="text1"/>
        </w:rPr>
        <w:fldChar w:fldCharType="begin"/>
      </w:r>
      <w:r w:rsidR="00DA7707">
        <w:rPr>
          <w:color w:val="000000" w:themeColor="text1"/>
        </w:rPr>
        <w:instrText xml:space="preserve"> ADDIN ZOTERO_ITEM CSL_CITATION {"citationID":"IXHRCaaw","properties":{"formattedCitation":"\\super 252\\nosupersub{}","plainCitation":"252","noteIndex":0},"citationItems":[{"id":2644,"uris":["http://zotero.org/users/6281125/items/AU2RBEMP"],"uri":["http://zotero.org/users/6281125/items/AU2RBEMP"],"itemData":{"id":2644,"type":"article-journal","abstract":"Objective\nThis study investigated multidimensional treatment outcomes, including prognostic factors and side effects of vocal fold steroid injection (VFSI).\nMethods\nWe recruited 126 consecutive patients, including patients with 49 nodules, 47 polyps, and 30 mucus retention cysts. All the patients received VFSI under local anesthesia in the office settings. Treatment outcomes were evaluated 1 and 2 months after the procedure, including endoscopic evaluation, perceptual voice quality (GRB scores), acoustic analysis, and 10-item Voice Handicap Index (VHI-10).\nResults\nMore than 80% of the patients reported subjective improvements after VFSI. Objective measurements revealed significant improvements from baseline in most of the outcome parameters (P&lt;0.05). Higher occupational vocal demands and fibrotic vocal nodules were significantly associated with poorer clinical responses as measured by the VHI-10 and GRB scores, respectively. For vocal polyps, dysphonia for more than 12 months were significantly associated with higher postoperative VHI-10 scores, whereas patients with laryngopharyngeal reflux (LPR) showed significantly poor postoperative voice quality as measured by GRB scores. Side effects after VFSI included hematoma (27%), triamcinolone deposits (4%), and vocal atrophy (1%), which resolved spontaneously within 1–2 months. Presentation with vocal fold ectasias/varicosities and higher vocal demands were significantly correlated with postoperative vocal hematoma.\nConclusions\nThis study demonstrated significant improvements after VFSI in vocal nodules, polyps, and cysts. Occupational vocal demand and subtypes of vocal nodules are closely related to the treatment outcomes after VFSI, whereas symptom duration and LPR were significant prognostic factors for VFSI treatment outcomes in vocal polyps. Side effects after receiving VFSI were mostly self-limited without sequel, whereas the incidence rates might be varied by the injection approach and the timing for postoperative follow-up.","container-title":"Journal of Voice","DOI":"10.1016/j.jvoice.2014.11.002","ISSN":"0892-1997","issue":"5","journalAbbreviation":"Journal of Voice","language":"en","page":"578-587","source":"ScienceDirect","title":"Comprehensive Outcome Researches of Intralesional Steroid Injection on Benign Vocal Fold Lesions","volume":"29","author":[{"family":"Wang","given":"Chi-Te"},{"family":"Lai","given":"Mei-Shu"},{"family":"Hsiao","given":"Tzu-Yu"}],"issued":{"date-parts":[["2015",9,1]]}}}],"schema":"https://github.com/citation-style-language/schema/raw/master/csl-citation.json"} </w:instrText>
      </w:r>
      <w:r w:rsidRPr="002E5426">
        <w:rPr>
          <w:color w:val="000000" w:themeColor="text1"/>
        </w:rPr>
        <w:fldChar w:fldCharType="separate"/>
      </w:r>
      <w:r w:rsidR="00DA7707" w:rsidRPr="00DA7707">
        <w:rPr>
          <w:vertAlign w:val="superscript"/>
        </w:rPr>
        <w:t>252</w:t>
      </w:r>
      <w:r w:rsidRPr="002E5426">
        <w:rPr>
          <w:color w:val="000000" w:themeColor="text1"/>
        </w:rPr>
        <w:fldChar w:fldCharType="end"/>
      </w:r>
      <w:r w:rsidRPr="002E5426">
        <w:rPr>
          <w:color w:val="000000" w:themeColor="text1"/>
        </w:rPr>
        <w:t xml:space="preserve"> Although the current study used the highest commercially available dose of dexamethasone at a clinically relevant injection volume, repeated intracordal injections may be required to elicit TA skeletal muscle atrophy. The retrospective case series by Shi et al. 2016</w:t>
      </w:r>
      <w:r w:rsidRPr="002E5426">
        <w:rPr>
          <w:color w:val="000000" w:themeColor="text1"/>
        </w:rPr>
        <w:fldChar w:fldCharType="begin"/>
      </w:r>
      <w:r w:rsidR="00DA7707">
        <w:rPr>
          <w:color w:val="000000" w:themeColor="text1"/>
        </w:rPr>
        <w:instrText xml:space="preserve"> ADDIN ZOTERO_ITEM CSL_CITATION {"citationID":"JOtWFcMc","properties":{"formattedCitation":"\\super 159\\nosupersub{}","plainCitation":"159","noteIndex":0},"citationItems":[{"id":6,"uris":["http://zotero.org/users/6281125/items/S7I28Z63"],"uri":["http://zotero.org/users/6281125/items/S7I28Z63"],"itemData":{"id":6,"type":"article-journal","abstract":"Objective The aim of this study was to illustrate the risk of vocal fold atrophy in patients who receive serial subepithelial steroid injections for vocal fold scar. Methods This study is a retrospective case report of two patients who underwent a series of weekly subepithelial infusions of 10 mg/mL dexamethasone for benign vocal fold lesion. Shortly after the procedures, both patients developed a weak and breathy voice. The first patient was a 53-year-old man with radiation-induced vocal fold stiffness. Six injections were performed unilaterally, and 1 week later, he developed unilateral vocal fold atrophy with new glottal insufficiency. The second patient was a 67-year-old woman with severe vocal fold inflammation related to laryngitis and calcinosis, Raynaud's phenomenon, esophagean dysmotility, sclerodactyly, and telangiectasia (CREST) syndrome. Five injections were performed bilaterally, and 1 week later, she developed bilateral vocal fold atrophy with a large midline glottal gap during phonation. In both cases, the steroid-induced vocal atrophy resolved spontaneously after 4 months. Outcomes &amp; Importance Serial subepithelial steroid infusions of the vocal folds, although safe in the majority of patients, carry the risk of causing temporary vocal fold atrophy when given at short intervals.","container-title":"Journal of Voice","DOI":"10.1016/j.jvoice.2015.10.004","ISSN":"18734588","issue":"6","page":"762-e11","title":"The risk of vocal fold atrophy after serial corticosteroid injections of the vocal fold","volume":"30","author":[{"family":"Shi","given":"Lucy L."},{"family":"Giraldez-Rodriguez","given":"Laureano A."},{"family":"Johns","given":"Michael M."}],"issued":{"date-parts":[["2016"]]}}}],"schema":"https://github.com/citation-style-language/schema/raw/master/csl-citation.json"} </w:instrText>
      </w:r>
      <w:r w:rsidRPr="002E5426">
        <w:rPr>
          <w:color w:val="000000" w:themeColor="text1"/>
        </w:rPr>
        <w:fldChar w:fldCharType="separate"/>
      </w:r>
      <w:r w:rsidR="00DA7707" w:rsidRPr="00DA7707">
        <w:rPr>
          <w:vertAlign w:val="superscript"/>
        </w:rPr>
        <w:t>159</w:t>
      </w:r>
      <w:r w:rsidRPr="002E5426">
        <w:rPr>
          <w:color w:val="000000" w:themeColor="text1"/>
        </w:rPr>
        <w:fldChar w:fldCharType="end"/>
      </w:r>
      <w:r w:rsidRPr="002E5426">
        <w:rPr>
          <w:color w:val="000000" w:themeColor="text1"/>
        </w:rPr>
        <w:t xml:space="preserve"> observed the occurrence of VF atrophy after 5-6 weekly</w:t>
      </w:r>
      <w:r w:rsidRPr="002E5426">
        <w:t xml:space="preserve"> </w:t>
      </w:r>
      <w:r w:rsidRPr="002E5426">
        <w:rPr>
          <w:color w:val="000000" w:themeColor="text1"/>
        </w:rPr>
        <w:t>subepithelial injections of 0.1 mL of 10 mg/mL dexamethasone, but the analysis was limited to only endoscopic ratings of atrophy presence. Therefore, interpretations of whether atrophy was localized to the epithelium, lamina propria, or skeletal muscle were unachievable. A study by Hashimoto et al. (2021)</w:t>
      </w:r>
      <w:r w:rsidRPr="002E5426">
        <w:rPr>
          <w:color w:val="000000" w:themeColor="text1"/>
        </w:rPr>
        <w:fldChar w:fldCharType="begin"/>
      </w:r>
      <w:r w:rsidR="00DA7707">
        <w:rPr>
          <w:color w:val="000000" w:themeColor="text1"/>
        </w:rPr>
        <w:instrText xml:space="preserve"> ADDIN ZOTERO_ITEM CSL_CITATION {"citationID":"1WENJuzm","properties":{"formattedCitation":"\\super 253\\nosupersub{}","plainCitation":"253","noteIndex":0},"citationItems":[{"id":2629,"uris":["http://zotero.org/users/6281125/items/SSP82NN2"],"uri":["http://zotero.org/users/6281125/items/SSP82NN2"],"itemData":{"id":2629,"type":"article-journal","abstract":"Methods. Thirteen-week-old male Sprague-Dawley rats were used in the experiments. Triamcinolone acetonide (TAA) or saline were administered repeatedly to the right vocal folds at a weekly interval, and rats were euthanized one week after the last administration for histological examination. Genetic examination was assessed hyaluronic acid (HA) metabolism at 1 or 3 days after a single TAA injection by quantitative real-time polymerase chain reaction (qRT-PCR).\nResults. The group which underwent four TAA injections showed a signiﬁcant decrease in HA in the lamina propria (LP), thickness of the LP and total cell numbers of the LP compared with the saline group. In contrast, there was no signiﬁcant difference in the area of collagen accumulation and the thyroarytenoid muscle, although there was a tendency of atrophy of the muscle. After single injection of TAA, qRT-PCR showed a signiﬁcant decrease in the expression of HA synthases, Has2 and Has3.\nConclusions. The current animal study ﬁrst demonstrates that repeated intracordal injection of GCs may lead to atrophy of vocal folds caused by decrease of deposition of HA in the LP and decrease of gene expression of Has.","container-title":"Journal of Voice","DOI":"10.1016/j.jvoice.2021.06.013","ISSN":"08921997","journalAbbreviation":"Journal of Voice","language":"en","source":"DOI.org (Crossref)","title":"Effects of repeated intracordal glucocorticoid injection on the histology and gene expression of rat vocal folds","URL":"https://linkinghub.elsevier.com/retrieve/pii/S0892199721001995","author":[{"family":"Hashimoto","given":"Keiko"},{"family":"Kaneko","given":"Mami"},{"family":"Kinoshita","given":"Shota"},{"family":"Ozawa","given":"Satomi"},{"family":"Mukudai","given":"Shigeyuki"},{"family":"Sugiyama","given":"Yoichiro"},{"family":"Hirano","given":"Shigeru"}],"accessed":{"date-parts":[["2021",10,20]]},"issued":{"date-parts":[["2021",7]]}}}],"schema":"https://github.com/citation-style-language/schema/raw/master/csl-citation.json"} </w:instrText>
      </w:r>
      <w:r w:rsidRPr="002E5426">
        <w:rPr>
          <w:color w:val="000000" w:themeColor="text1"/>
        </w:rPr>
        <w:fldChar w:fldCharType="separate"/>
      </w:r>
      <w:r w:rsidR="00DA7707" w:rsidRPr="00DA7707">
        <w:rPr>
          <w:vertAlign w:val="superscript"/>
        </w:rPr>
        <w:t>253</w:t>
      </w:r>
      <w:r w:rsidRPr="002E5426">
        <w:rPr>
          <w:color w:val="000000" w:themeColor="text1"/>
        </w:rPr>
        <w:fldChar w:fldCharType="end"/>
      </w:r>
      <w:r w:rsidRPr="002E5426">
        <w:rPr>
          <w:color w:val="000000" w:themeColor="text1"/>
        </w:rPr>
        <w:t xml:space="preserve"> investigating the temporal atrophic effects of four triamcinolone injections in rat VFs observed significant decreases in the area of hyaluronic acid and thickness of the lamina propria, but no differences in TA muscle fiber CSA. Our study was limited to only exploring the potential atrophic effects of a single intracordal injection of dexamethasone on the TA muscle.</w:t>
      </w:r>
    </w:p>
    <w:bookmarkEnd w:id="126"/>
    <w:p w14:paraId="6E18406C" w14:textId="6E4D74C3" w:rsidR="00612503" w:rsidRPr="00612503" w:rsidRDefault="00364813" w:rsidP="00612503">
      <w:pPr>
        <w:ind w:left="1" w:firstLine="719"/>
      </w:pPr>
      <w:r>
        <w:t xml:space="preserve">Although </w:t>
      </w:r>
      <w:r w:rsidR="00FF7F65">
        <w:t>further</w:t>
      </w:r>
      <w:r w:rsidR="00161E70">
        <w:t xml:space="preserve"> studies </w:t>
      </w:r>
      <w:r w:rsidR="00FF7F65">
        <w:t>are required</w:t>
      </w:r>
      <w:r w:rsidR="00161E70">
        <w:t xml:space="preserve"> to </w:t>
      </w:r>
      <w:r w:rsidR="00421486">
        <w:t>elucidate</w:t>
      </w:r>
      <w:r w:rsidR="00161E70">
        <w:t xml:space="preserve"> the </w:t>
      </w:r>
      <w:r w:rsidR="00421486">
        <w:t xml:space="preserve">possible local </w:t>
      </w:r>
      <w:r w:rsidR="00052B49">
        <w:t>atrophic</w:t>
      </w:r>
      <w:r w:rsidR="00421486">
        <w:t xml:space="preserve"> effects o</w:t>
      </w:r>
      <w:r w:rsidR="00161E70">
        <w:t>f</w:t>
      </w:r>
      <w:r>
        <w:t xml:space="preserve"> serial intracordal GC injections, the current findings support the</w:t>
      </w:r>
      <w:r w:rsidR="00E5102B">
        <w:t xml:space="preserve"> safety</w:t>
      </w:r>
      <w:r>
        <w:t xml:space="preserve"> </w:t>
      </w:r>
      <w:r w:rsidR="005017EE">
        <w:t xml:space="preserve">of </w:t>
      </w:r>
      <w:r>
        <w:t xml:space="preserve">a single intracordal injection of </w:t>
      </w:r>
      <w:r w:rsidR="005017EE">
        <w:t xml:space="preserve">dexamethasone </w:t>
      </w:r>
      <w:r w:rsidR="00161E70">
        <w:t>when</w:t>
      </w:r>
      <w:r w:rsidR="005017EE">
        <w:t xml:space="preserve"> treating various laryngeal </w:t>
      </w:r>
      <w:r>
        <w:t>pathologies</w:t>
      </w:r>
      <w:r w:rsidR="005017EE">
        <w:t>.</w:t>
      </w:r>
    </w:p>
    <w:p w14:paraId="38C23592" w14:textId="3575461B" w:rsidR="00DD7A22" w:rsidRDefault="00DD7A22">
      <w:pPr>
        <w:pStyle w:val="Heading2"/>
      </w:pPr>
      <w:bookmarkStart w:id="127" w:name="_Toc88218569"/>
      <w:bookmarkEnd w:id="20"/>
      <w:bookmarkEnd w:id="125"/>
      <w:r>
        <w:t>Limitations</w:t>
      </w:r>
      <w:bookmarkEnd w:id="127"/>
      <w:r>
        <w:t xml:space="preserve"> </w:t>
      </w:r>
    </w:p>
    <w:p w14:paraId="27F0535E" w14:textId="7A070062" w:rsidR="00F812D6" w:rsidRPr="002E5426" w:rsidRDefault="00DD7A22" w:rsidP="00F812D6">
      <w:bookmarkStart w:id="128" w:name="_Hlk86045070"/>
      <w:r w:rsidRPr="0086232D">
        <w:t>A limitation that w</w:t>
      </w:r>
      <w:r w:rsidR="00293C0B">
        <w:t>as</w:t>
      </w:r>
      <w:r w:rsidRPr="0086232D">
        <w:t xml:space="preserve"> acknowledge</w:t>
      </w:r>
      <w:r w:rsidR="00293C0B">
        <w:t>d</w:t>
      </w:r>
      <w:r w:rsidRPr="0086232D">
        <w:t xml:space="preserve"> is the uniqueness in the structure of the rabbit VF tissue and how this may influence how findings can be generalized to drug effects on human VFs. Although rabbits demonstrate similarities to humans in the context of VF tissue</w:t>
      </w:r>
      <w:r>
        <w:t>,</w:t>
      </w:r>
      <w:r w:rsidRPr="0086232D">
        <w:t xml:space="preserve"> microarchitectural properties</w:t>
      </w:r>
      <w:r>
        <w:t>,</w:t>
      </w:r>
      <w:r w:rsidRPr="0086232D">
        <w:t xml:space="preserve"> and </w:t>
      </w:r>
      <w:r w:rsidR="00EF2F44">
        <w:t>ECM</w:t>
      </w:r>
      <w:r w:rsidRPr="0086232D">
        <w:t xml:space="preserve"> components, the </w:t>
      </w:r>
      <w:r w:rsidR="007B4D7D">
        <w:t xml:space="preserve">rabbit only has </w:t>
      </w:r>
      <w:r w:rsidR="007B4D7D" w:rsidRPr="0086232D">
        <w:t xml:space="preserve">2-4 layers of </w:t>
      </w:r>
      <w:r w:rsidR="007B4D7D">
        <w:t xml:space="preserve">VF SSE and </w:t>
      </w:r>
      <w:r w:rsidR="00346C29">
        <w:t>a 2</w:t>
      </w:r>
      <w:r w:rsidR="00001E10">
        <w:t>-</w:t>
      </w:r>
      <w:r w:rsidR="00346C29">
        <w:t>layer</w:t>
      </w:r>
      <w:r w:rsidR="00001E10">
        <w:t>e</w:t>
      </w:r>
      <w:r w:rsidR="00346C29">
        <w:t>d</w:t>
      </w:r>
      <w:r w:rsidR="00001E10">
        <w:t xml:space="preserve"> </w:t>
      </w:r>
      <w:r w:rsidR="00346C29">
        <w:t>LP</w:t>
      </w:r>
      <w:r w:rsidR="007B4D7D">
        <w:t>,</w:t>
      </w:r>
      <w:r w:rsidR="006E420E" w:rsidRPr="0086232D">
        <w:rPr>
          <w:highlight w:val="yellow"/>
        </w:rPr>
        <w:fldChar w:fldCharType="begin"/>
      </w:r>
      <w:r w:rsidR="00DA7707">
        <w:rPr>
          <w:highlight w:val="yellow"/>
        </w:rPr>
        <w:instrText xml:space="preserve"> ADDIN ZOTERO_ITEM CSL_CITATION {"citationID":"iN06giEZ","properties":{"formattedCitation":"\\super 99,206,207\\nosupersub{}","plainCitation":"99,206,207","noteIndex":0},"citationItems":[{"id":548,"uris":["http://zotero.org/users/6281125/items/LJFF76UE"],"uri":["http://zotero.org/users/6281125/items/LJFF76UE"],"itemData":{"id":548,"type":"article-journal","abstract":"Scarring of the vocal fold causes considerable dysphonia and presents significant treatment challenges. A rabbit model was developed to investigate the histologic ultrastructure and rheologic properties of the scarred vocal fold lamina propria. Eleven rabbit larynges were scarred by means of forcep biopsy. Sixty days postoperatively, the rabbits were sacrificed and their vocal folds were harvested. Histological analysis of the scarred and normal lamina propria was completed for collagen, procollagen, elastin, and hyaluronic acid. Linear viscoelastic shear properties of the tissues were also measured, including elastic shear modulus and dynamic viscosity. Compared to normal vocal fold lamina propria, scarred tissues demonstrated significantly less collagen, an increase in procollagen, and a decrease in elastin. Rheologically, both elastic shear modulus and dynamic viscosity were significantly higher for the scarred tissues. Increased stiffness and viscosity do not appear to result from an increase in collagen, but rather appear to be related to the presence of new, disorganized collagen scaffolding. Results are interpreted in terms of the possible role of interstitial proteins in the etiology of increased stiffness and viscosity, which requires further investigation. This animal model should allow for systematic future investigations of vocal fold scarring and its treatment.","container-title":"Journal of Voice","DOI":"10.1016/S0892-1997(02)00078-4","ISSN":"08921997","issue":"1","note":"PMID: 12002893","page":"96–104","title":"Histologic and rheologic characterization of vocal fold scarring","volume":"16","author":[{"family":"Thibeault","given":"Susan L."},{"family":"Gray","given":"Steven D."},{"family":"Bless","given":"Diane M."},{"family":"Chan","given":"Roger W."},{"family":"Ford","given":"Charles N."}],"issued":{"date-parts":[["2002"]]}}},{"id":2057,"uris":["http://zotero.org/users/6281125/items/KQCU66TI"],"uri":["http://zotero.org/users/6281125/items/KQCU66TI"],"itemData":{"id":2057,"type":"article-journal","container-title":"Jibi To Rinsho Kai","issue":"4","note":"publisher: College-Hill Press","page":"3–21","source":"Google Scholar","title":"A comparative study of the layer structure of the vocal fold","volume":"28","author":[{"family":"Kurita","given":"S."}],"issued":{"date-parts":[["1981"]]}}},{"id":238,"uris":["http://zotero.org/users/6281125/items/KK8D72RM"],"uri":["http://zotero.org/users/6281125/items/KK8D72RM"],"itemData":{"id":238,"type":"report","abstract":"This article discusses the molecular composition of the vocal fold and the relationship of fibrous molecules to the biomechanical and physiological performance of the tissue. The components of the extracellular matrix may be divided into fibrous proteins and interstitial proteins. The fibrous proteins, consisting of collagens and elastins, are the focus of this report. Elastin concentration varies by tissue depth in the vocal folds. Variation of elastin by age is reported, but some controversy exists. The biomechanical terms of stress and strain (and stress-strain curves of human vocal folds) are related to the fibrous proteins of the vocal folds. The fibrous proteins, their role in stress, and their effect on the dynamic range of vocal pitch are presented. The lamina propria (LP) of the vocal fold has received considerable attention from laryngologists over the last 2 decades. Although some interest in this tissue was present before that time, it was Hi-rano's histologie work, coupled with the introduction of the cover-body theory of phonation, that propelled a basic understanding of the LP to the laryn-gologiste\"\" 3 His work was unique, in that his research group not only identified histologie differences in various regions of the LP, but also related those findings to vocal fold physiology with clinical implications. Hirano 1,2 found that the LP of the vocal fold is made up of 3 layers. The most superficial layer of the LP (SLLP) was characterized histologically by loose tissue with few collagen or elastin fibers. The middle or intermediate layer of the LP (MLLP) was found to have an increased number of elastin fibers, and the deep layer of the LP (DLLP) had an increased number of collagen fibers (Fig l 4). The more superficial tissue was termed the cover, and the deeper tissue was called the body. 3 The notion of a cover and body fit well with studies of vocal fold vibration showing not only medial-to-lateral motion of tissue, but also vertical motion of tissue. 2 · 5 The physiological concept of the theory is that the more medial and superficial tissue slides, glides, and moves over a more rigid body of tissue. Specifically, a wave of \"mucosal upheaval,\" which starts in the immediate infrafold area and then travels superiorly, had been identified on high-speed cine-matography. 6 \" 9 This is referred to as the mucosal wave. It was recognized that for the superficial tissue , freedom of movement in all directions was critical. The cover-body theory of phonation met that criterion , and the studies of the LP provided histologie evidence that the superficial tissues allowed freedom of movement, while the deeper tissues were more tightly integrated or bound. The cover of the vocal fold included the epithe-lium and the SLLP, while the DLLP and vocalis muscle were assigned to the body. The MLLP was appropriately characterized as a transitional layer. Since the amount of tissue in vibration depends on inten-BASEMENT MEMBRANE-·-' Fig 1. Tissue of vocal fold and its division into layers based on anatomic, functional, or biomechanical differences. (Reprinted with permission. 4)","title":"BIOMECHANICAL AND HISTOLOGIC OBSERVATIONS OF VOCAL FOLD FIBROUS PROTEINS","URL":"https://journals.sagepub.com/doi/pdf/10.1177/000348940010900115","author":[{"family":"Gray","given":"Steven D"},{"family":"Hammond","given":"Thomas Hale"}],"issued":{"date-parts":[["2000"]]}}}],"schema":"https://github.com/citation-style-language/schema/raw/master/csl-citation.json"} </w:instrText>
      </w:r>
      <w:r w:rsidR="006E420E" w:rsidRPr="0086232D">
        <w:rPr>
          <w:highlight w:val="yellow"/>
        </w:rPr>
        <w:fldChar w:fldCharType="separate"/>
      </w:r>
      <w:r w:rsidR="00DA7707" w:rsidRPr="00DA7707">
        <w:rPr>
          <w:vertAlign w:val="superscript"/>
        </w:rPr>
        <w:t>99,206,207</w:t>
      </w:r>
      <w:r w:rsidR="006E420E" w:rsidRPr="0086232D">
        <w:rPr>
          <w:highlight w:val="yellow"/>
        </w:rPr>
        <w:fldChar w:fldCharType="end"/>
      </w:r>
      <w:r w:rsidR="00001E10">
        <w:t xml:space="preserve"> </w:t>
      </w:r>
      <w:r w:rsidR="007B4D7D" w:rsidRPr="0086232D">
        <w:t>while humans have 5-10</w:t>
      </w:r>
      <w:r w:rsidR="007B4D7D">
        <w:t xml:space="preserve"> </w:t>
      </w:r>
      <w:r w:rsidR="00346C29">
        <w:t xml:space="preserve">SSE layers and </w:t>
      </w:r>
      <w:r w:rsidRPr="0086232D">
        <w:t>a tertiary intermediate</w:t>
      </w:r>
      <w:r w:rsidR="00A515E6">
        <w:t xml:space="preserve"> LP</w:t>
      </w:r>
      <w:r w:rsidRPr="0086232D">
        <w:t xml:space="preserve"> layer.</w:t>
      </w:r>
      <w:r w:rsidRPr="0086232D">
        <w:fldChar w:fldCharType="begin"/>
      </w:r>
      <w:r w:rsidR="00DA7707">
        <w:instrText xml:space="preserve"> ADDIN ZOTERO_ITEM CSL_CITATION {"citationID":"kohARh1h","properties":{"formattedCitation":"\\super 24,254\\nosupersub{}","plainCitation":"24,254","noteIndex":0},"citationItems":[{"id":547,"uris":["http://zotero.org/users/6281125/items/4VBAS3AT"],"uri":["http://zotero.org/users/6281125/items/4VBAS3AT"],"itemData":{"id":547,"type":"article-journal","abstract":"BACKGROUND: The larynx is a complex organ composed of different connective tissue elements. So far, the extracellular matrix of the larynx has not been thoroughly described. Hyaluronan is a matrix polysaccharide with physicochemical effects and biological cell functions in soft connective tissues. METHODS: The histochemical distribution of hyaluronan (hyaluronic acid, hyaluronate) was studied in tissue sections from various levels of the rabbit larynx by means of a hyaluronan-binding protein and avidin biotin peroxidase staining. Microwave-aided fixation was used to retain the extracellular location of hyaluronan. RESULTS: Hyaluronan accumulated chiefly in the subepithelial lamina propria and in the connective tissue enclosing striated muscle fibres of the thyroarytenoid muscle and vocalis muscle. This localization contrasted sharply with the weak staining for hyaluronan in muscles external to the thyroid cartilage. Intensive staining for hyaluronan was found in perivascular and periglandular connective tissue, as in the vacuoles of the hyaline cartilage of the thyroid, cricoid and arytenoid cartilages, and to a lesser extent in the lacunae of the chondrocytes and in the perichondrium of the elastic cartilage of the epiglottis. CONCLUSIONS: Hyaluronan was heterogenously distributed in the rabbit larynx. It was abundant in intrinsic laryngeal muscles performing small, precise, and rapid movements and in the subepithelium at the glottic level, where it may facilitate mucosal movements. The abundant hyaluronan in the subglottic region may be involved in the control of vascular leakage and edema formation.","container-title":"Anatomical Record","DOI":"10.1002/(SICI)1097-0185(199612)246:4&lt;441::AID-AR3&gt;3.0.CO;2-Y","ISSN":"0003276X","issue":"4","note":"PMID: 8955783","page":"441–445","title":"Hyaluronan localization in the rabbit larynx","volume":"246","author":[{"family":"Hallén","given":"L."},{"family":"Johansson","given":"C."},{"family":"Laurent","given":"C."},{"family":"Dahlqvist","given":"\\AA"}],"issued":{"date-parts":[["1996"]]}}},{"id":1884,"uris":["http://zotero.org/users/6281125/items/73IE46PN"],"uri":["http://zotero.org/users/6281125/items/73IE46PN"],"itemData":{"id":1884,"type":"article-journal","container-title":"European Archives of Oto-Rhino-Laryngology","DOI":"10.1007/s00405-007-0246-8","ISSN":"0937-4477, 1434-4726","issue":"6","journalAbbreviation":"Eur Arch Otorhinolaryngol","language":"en","page":"645-649","source":"DOI.org (Crossref)","title":"Histologic assessment of epithelial thickness in early laryngeal cancer or precursor lesions and its impact on endoscopic imaging","volume":"264","author":[{"family":"Arens","given":"Christoph"},{"family":"Glanz","given":"Hiltrud"},{"family":"Wönckhaus","given":"Joachim"},{"family":"Hersemeyer","given":"Karin"},{"family":"Kraft","given":"Marcel"}],"issued":{"date-parts":[["2007",5,2]]}}}],"schema":"https://github.com/citation-style-language/schema/raw/master/csl-citation.json"} </w:instrText>
      </w:r>
      <w:r w:rsidRPr="0086232D">
        <w:fldChar w:fldCharType="separate"/>
      </w:r>
      <w:r w:rsidR="00DA7707" w:rsidRPr="00DA7707">
        <w:rPr>
          <w:vertAlign w:val="superscript"/>
        </w:rPr>
        <w:t>24,254</w:t>
      </w:r>
      <w:r w:rsidRPr="0086232D">
        <w:fldChar w:fldCharType="end"/>
      </w:r>
      <w:r w:rsidR="00F26934">
        <w:t xml:space="preserve"> Additionally</w:t>
      </w:r>
      <w:r w:rsidR="00105701">
        <w:t>,</w:t>
      </w:r>
      <w:r w:rsidR="007B070E">
        <w:t xml:space="preserve"> while humans have both type I and II muscle fi</w:t>
      </w:r>
      <w:r w:rsidR="00995ED9">
        <w:t>bers</w:t>
      </w:r>
      <w:r w:rsidR="007B070E">
        <w:t xml:space="preserve"> in their TA muscle,</w:t>
      </w:r>
      <w:r w:rsidR="00105701">
        <w:t xml:space="preserve"> rabbits have been reported to only hav</w:t>
      </w:r>
      <w:r w:rsidR="006E420E">
        <w:t>e</w:t>
      </w:r>
      <w:r w:rsidR="00105701">
        <w:t xml:space="preserve"> </w:t>
      </w:r>
      <w:r w:rsidR="00EF2372">
        <w:t>t</w:t>
      </w:r>
      <w:r w:rsidR="00105701">
        <w:t>ype</w:t>
      </w:r>
      <w:r w:rsidR="00240871">
        <w:t xml:space="preserve"> II</w:t>
      </w:r>
      <w:r w:rsidR="00F26934">
        <w:t xml:space="preserve"> </w:t>
      </w:r>
      <w:r w:rsidR="00397544">
        <w:t>muscle fibers</w:t>
      </w:r>
      <w:r w:rsidR="008C63F8">
        <w:t>,</w:t>
      </w:r>
      <w:r w:rsidR="00240871">
        <w:fldChar w:fldCharType="begin"/>
      </w:r>
      <w:r w:rsidR="00DA7707">
        <w:instrText xml:space="preserve"> ADDIN ZOTERO_ITEM CSL_CITATION {"citationID":"cl3gBO7b","properties":{"formattedCitation":"\\super 255\\nosupersub{}","plainCitation":"255","noteIndex":0},"citationItems":[{"id":2507,"uris":["http://zotero.org/users/6281125/items/3Y4884U5"],"uri":["http://zotero.org/users/6281125/items/3Y4884U5"],"itemData":{"id":2507,"type":"article-journal","abstract":"The internal laryngeal muscles have evolved to subserve the highly specialized functions of airways protection, respiration, and phonation. Their contractile properties, histochemistry, biochemical properties, myosin heavy chain (MyHC) expression and their regulation by nerves and hormones are reviewed and compared with limb muscle fibres. Cricothyroid, the vocal cord tensor, is limb-like in MyHC composition and fibre type properties, while the vocal fold abductor and adductors are allotypically different, with capacity for expressing an isoform of MyHC that is kinetically faster than the fastest limb MyHC. In rats and rabbits the faster isoform is the extraocular (EO) MyHC, while in carnivores, it is the IIB MyHC. These adaptations enable the abductor and adductor muscles to remain always faster than the cricothyroid as the latter changes in speed during evolution to match changing metabolic and respiratory rates in relation to scaling with body mass. Such phylogenetic plasticity is vital to the airways protection and respiratory functions of these muscles. The posterior cricoarythenoid, the abductor muscle, is tonically driven during expiration, and consequently has a slower fibre type profile than the principal adductor, the thyroarythenoid. The human thyroarythenoid appears not to express EO or IIB MyHC significantly, but is unique in expressing the slow-tonic MyHC. The concepts of allotype and phylogenetic plasticity help to explain differences in fibre type between limb and laryngeal muscles and between homologous laryngeal muscles in different species. Laryngeal muscle fibres exhibit physiological plasticity as do limb muscles, being subject to neural and hormonal modulation.","container-title":"Acta Physiologica Scandinavica","DOI":"10.1111/j.1365-201X.2004.01402.x","ISSN":"1365-201X","issue":"2","language":"en","note":"_eprint: https://onlinelibrary.wiley.com/doi/pdf/10.1111/j.1365-201X.2004.01402.x","page":"133-149","source":"Wiley Online Library","title":"Laryngeal muscle fibre types","volume":"183","author":[{"family":"Hoh","given":"J. F. Y."}],"issued":{"date-parts":[["2005"]]}}}],"schema":"https://github.com/citation-style-language/schema/raw/master/csl-citation.json"} </w:instrText>
      </w:r>
      <w:r w:rsidR="00240871">
        <w:fldChar w:fldCharType="separate"/>
      </w:r>
      <w:r w:rsidR="00DA7707" w:rsidRPr="00DA7707">
        <w:rPr>
          <w:vertAlign w:val="superscript"/>
        </w:rPr>
        <w:t>255</w:t>
      </w:r>
      <w:r w:rsidR="00240871">
        <w:fldChar w:fldCharType="end"/>
      </w:r>
      <w:r w:rsidR="008C63F8">
        <w:t xml:space="preserve"> </w:t>
      </w:r>
      <w:r w:rsidR="008E6F22">
        <w:t xml:space="preserve">which </w:t>
      </w:r>
      <w:r w:rsidR="00B92F0D">
        <w:t>are believed</w:t>
      </w:r>
      <w:r w:rsidR="008E6F22">
        <w:t xml:space="preserve"> </w:t>
      </w:r>
      <w:r w:rsidR="00B92F0D">
        <w:t xml:space="preserve">to </w:t>
      </w:r>
      <w:r w:rsidR="008E6F22">
        <w:t xml:space="preserve">be </w:t>
      </w:r>
      <w:r w:rsidR="00831454">
        <w:t>less</w:t>
      </w:r>
      <w:r w:rsidR="008E6F22">
        <w:t xml:space="preserve"> </w:t>
      </w:r>
      <w:r w:rsidR="00105701">
        <w:t>resistant to</w:t>
      </w:r>
      <w:r w:rsidR="00B92F0D">
        <w:t xml:space="preserve"> skeletal muscle</w:t>
      </w:r>
      <w:r w:rsidR="00105701">
        <w:t xml:space="preserve"> atrophy</w:t>
      </w:r>
      <w:r w:rsidR="006E420E">
        <w:t>.</w:t>
      </w:r>
      <w:r w:rsidR="00831454">
        <w:fldChar w:fldCharType="begin"/>
      </w:r>
      <w:r w:rsidR="00DA7707">
        <w:instrText xml:space="preserve"> ADDIN ZOTERO_ITEM CSL_CITATION {"citationID":"KksA0If4","properties":{"formattedCitation":"\\super 256\\nosupersub{}","plainCitation":"256","noteIndex":0},"citationItems":[{"id":2602,"uris":["http://zotero.org/users/6281125/items/STFYVFM5"],"uri":["http://zotero.org/users/6281125/items/STFYVFM5"],"itemData":{"id":2602,"type":"article-journal","abstract":"Purpose of review\nThere are a variety of pathophysiologic conditions that are known to induce skeletal muscle atrophy. However, muscle wasting can occur through multiple distinct signaling pathways with differential sensitivity between selective skeletal muscle fiber subtypes. This review summarizes some of the underlying molecular mechanisms responsible for fiber-specific muscle mass regulation.\n\nRecent findings\nPeroxisome proliferator-activated receptor gamma coactivator 1-alpha protects slow-twitch oxidative fibers from denervation/immobilization (disuse)-induced muscle atrophies. Nutrient-related muscle atrophies, such as those induced by cancer cachexia, sepsis, chronic heart failure, or diabetes, are largely restricted to fast-twitch glycolytic fibers, of which the underlying mechanism is usually related to abnormality of protein degradation, including proteasomal and lysosomal pathways. In contrast, nuclear factor kappaB activation apparently serves a dual function by inducing both fast-twitch fiber atrophy and slow-twitch fiber degeneration.\n\nSummary\nFast-twitch glycolytic fibers are more vulnerable than slow-twitch oxidative fibers under a variety of atrophic conditions related to signaling transduction of Forkhead box O family, autophagy inhibition, transforming growth factor beta family, and nuclear factor-kappaB. The resistance of oxidative fibers may result from the protection of peroxisome proliferator-activated receptor gamma coactivator 1-alpha.","container-title":"Current opinion in clinical nutrition and metabolic care","DOI":"10.1097/MCO.0b013e328360272d","ISSN":"1363-1950","issue":"3","journalAbbreviation":"Curr Opin Clin Nutr Metab Care","note":"PMID: 23493017\nPMCID: PMC4327989","page":"243-250","source":"PubMed Central","title":"Mechanisms for fiber-type specificity of skeletal muscle atrophy","volume":"16","author":[{"family":"Wang","given":"Yichen"},{"family":"Pessin","given":"Jeffrey E."}],"issued":{"date-parts":[["2013",5]]}}}],"schema":"https://github.com/citation-style-language/schema/raw/master/csl-citation.json"} </w:instrText>
      </w:r>
      <w:r w:rsidR="00831454">
        <w:fldChar w:fldCharType="separate"/>
      </w:r>
      <w:r w:rsidR="00DA7707" w:rsidRPr="00DA7707">
        <w:rPr>
          <w:vertAlign w:val="superscript"/>
        </w:rPr>
        <w:t>256</w:t>
      </w:r>
      <w:r w:rsidR="00831454">
        <w:fldChar w:fldCharType="end"/>
      </w:r>
      <w:r w:rsidR="00C850BC">
        <w:t xml:space="preserve"> </w:t>
      </w:r>
      <w:r w:rsidR="00350665">
        <w:t>A</w:t>
      </w:r>
      <w:r w:rsidR="00C850BC">
        <w:t>lthough no atrophy was observed in these experiments, it</w:t>
      </w:r>
      <w:r w:rsidR="006E420E">
        <w:t xml:space="preserve"> is unclear whether </w:t>
      </w:r>
      <w:r w:rsidR="00297D9F">
        <w:t xml:space="preserve">different </w:t>
      </w:r>
      <w:r w:rsidR="006E420E">
        <w:t>muscle fiber types have different resistance</w:t>
      </w:r>
      <w:r w:rsidR="00DF306C">
        <w:t xml:space="preserve"> levels</w:t>
      </w:r>
      <w:r w:rsidR="006E420E">
        <w:t xml:space="preserve"> </w:t>
      </w:r>
      <w:r w:rsidR="000F22FE">
        <w:t xml:space="preserve">of </w:t>
      </w:r>
      <w:r w:rsidR="00616AB5">
        <w:t xml:space="preserve">skeletal muscle </w:t>
      </w:r>
      <w:r w:rsidR="006E420E">
        <w:t>atrophy</w:t>
      </w:r>
      <w:r w:rsidR="00350665">
        <w:t xml:space="preserve"> induced by </w:t>
      </w:r>
      <w:r w:rsidR="00350665" w:rsidRPr="002E5426">
        <w:t>GCs.</w:t>
      </w:r>
      <w:r w:rsidR="00F812D6" w:rsidRPr="002E5426">
        <w:t xml:space="preserve"> Additionally, GCs are typically admin</w:t>
      </w:r>
      <w:r w:rsidR="008D6542" w:rsidRPr="002E5426">
        <w:t>iste</w:t>
      </w:r>
      <w:r w:rsidR="00F812D6" w:rsidRPr="002E5426">
        <w:t xml:space="preserve">red </w:t>
      </w:r>
      <w:r w:rsidR="008D6542" w:rsidRPr="002E5426">
        <w:t>for laryngeal indications that frequently involve an inflammatory response in the VFs or surrounding tissue. It is reasonable to believe that this inflammatory response - characterized by an influx of immune cells, the release of inflammatory mediators, and chemoattraction of other cell types - can influence how GCs interact with the VF tissue. However, the VFs used in the study were uninjured. Therefore, generalization of GC effects on inured VF tissue is limited.</w:t>
      </w:r>
    </w:p>
    <w:p w14:paraId="44C212BC" w14:textId="780DFC30" w:rsidR="001044FF" w:rsidRPr="002E5426" w:rsidRDefault="001044FF" w:rsidP="00F812D6">
      <w:r w:rsidRPr="002E5426">
        <w:t>A second limitation of this study was the absence of analysis of endocrine biomarkers, food intake, and waste outpu</w:t>
      </w:r>
      <w:r w:rsidR="00EB6AE0" w:rsidRPr="002E5426">
        <w:t>t</w:t>
      </w:r>
      <w:r w:rsidRPr="002E5426">
        <w:t>. It is unclear if body mass loss in rabbits receiving intramuscular methylprednisolone injections was influenced by potential GC effects on IGF-1, decreases in appetite, or increases in urine/fecal output. It is also unclear if there was atrophy in the injected iliocostalis/longissimus muscle</w:t>
      </w:r>
      <w:r w:rsidR="009366D2" w:rsidRPr="002E5426">
        <w:t xml:space="preserve"> or surrounding connective tissue</w:t>
      </w:r>
      <w:r w:rsidRPr="002E5426">
        <w:t xml:space="preserve">. Future studies will account for food intake and fecal output, as well as the inclusion of skeletal muscles and endocrine biomarkers that may be affected by </w:t>
      </w:r>
      <w:r w:rsidR="00F42497" w:rsidRPr="002E5426">
        <w:t xml:space="preserve">systemic </w:t>
      </w:r>
      <w:r w:rsidRPr="002E5426">
        <w:t>GCs.</w:t>
      </w:r>
    </w:p>
    <w:p w14:paraId="62F253E5" w14:textId="1B4CA90E" w:rsidR="008D6542" w:rsidRDefault="008D6542" w:rsidP="00F812D6">
      <w:bookmarkStart w:id="129" w:name="_Hlk86045347"/>
      <w:r w:rsidRPr="002E5426">
        <w:t xml:space="preserve">A </w:t>
      </w:r>
      <w:r w:rsidR="001044FF" w:rsidRPr="002E5426">
        <w:t>third</w:t>
      </w:r>
      <w:r w:rsidRPr="002E5426">
        <w:t xml:space="preserve"> limitation was the location </w:t>
      </w:r>
      <w:r w:rsidR="001044FF" w:rsidRPr="002E5426">
        <w:t xml:space="preserve">of </w:t>
      </w:r>
      <w:r w:rsidRPr="002E5426">
        <w:t>the intracordal GC injection in the rabbit VF. In almost all instances of clinical GC intracordal injection, the surgeon will inject the bolus into the superficial LP, avoiding the vocal ligament and TA muscle.</w:t>
      </w:r>
      <w:r w:rsidRPr="002E5426">
        <w:fldChar w:fldCharType="begin"/>
      </w:r>
      <w:r w:rsidR="00DA7707">
        <w:instrText xml:space="preserve"> ADDIN ZOTERO_ITEM CSL_CITATION {"citationID":"MEx5OebU","properties":{"formattedCitation":"\\super 257\\nosupersub{}","plainCitation":"257","noteIndex":0},"citationItems":[{"id":2627,"uris":["http://zotero.org/users/6281125/items/T7CRR4U9"],"uri":["http://zotero.org/users/6281125/items/T7CRR4U9"],"itemData":{"id":2627,"type":"chapter","container-title":"Vocal Fold Injection","page":"141-150","publisher":"Springer","title":"Vocal Fold Steroid Injection","author":[{"family":"Wang","given":"Chi-Te"}],"issued":{"date-parts":[["2021"]]}}}],"schema":"https://github.com/citation-style-language/schema/raw/master/csl-citation.json"} </w:instrText>
      </w:r>
      <w:r w:rsidRPr="002E5426">
        <w:fldChar w:fldCharType="separate"/>
      </w:r>
      <w:r w:rsidR="00DA7707" w:rsidRPr="00DA7707">
        <w:rPr>
          <w:vertAlign w:val="superscript"/>
        </w:rPr>
        <w:t>257</w:t>
      </w:r>
      <w:r w:rsidRPr="002E5426">
        <w:fldChar w:fldCharType="end"/>
      </w:r>
      <w:r w:rsidRPr="002E5426">
        <w:t xml:space="preserve"> Due to the significantly smaller size of the rabbit VF, delineation of the superficial LP from the vocal ligament and TA muscle during endoscopic injection was challenging. Consequently, the rabbits receiving intracordal GC injections received the bolus into the TA muscle, which is atypical in clinical practice.</w:t>
      </w:r>
    </w:p>
    <w:bookmarkEnd w:id="129"/>
    <w:p w14:paraId="2A2E3E0B" w14:textId="44F49CD5" w:rsidR="00084D48" w:rsidRDefault="009F6566" w:rsidP="00A72DB1">
      <w:r>
        <w:t xml:space="preserve">A </w:t>
      </w:r>
      <w:r w:rsidR="001044FF">
        <w:t>fourth</w:t>
      </w:r>
      <w:r>
        <w:t xml:space="preserve"> limitation </w:t>
      </w:r>
      <w:r w:rsidR="001044FF">
        <w:t>was</w:t>
      </w:r>
      <w:r>
        <w:t xml:space="preserve"> the lack of </w:t>
      </w:r>
      <w:r w:rsidR="00A130D9">
        <w:t>inclusion of female rabbits</w:t>
      </w:r>
      <w:r w:rsidR="005B7C33">
        <w:t xml:space="preserve">. Although attempts were made to incorporate </w:t>
      </w:r>
      <w:r w:rsidR="00A130D9">
        <w:t>female rabbits in all experimental cohorts, vend</w:t>
      </w:r>
      <w:r w:rsidR="000F22FE">
        <w:t>o</w:t>
      </w:r>
      <w:r w:rsidR="00A130D9">
        <w:t xml:space="preserve">r </w:t>
      </w:r>
      <w:r w:rsidR="00340688">
        <w:t xml:space="preserve">supplies at the time of purchase were limited to male rabbits. </w:t>
      </w:r>
      <w:r w:rsidR="002078C8">
        <w:t>While it is well established that human VF compositions differ</w:t>
      </w:r>
      <w:r w:rsidR="0023781F">
        <w:t xml:space="preserve"> between male</w:t>
      </w:r>
      <w:r w:rsidR="000F22FE">
        <w:t>s</w:t>
      </w:r>
      <w:r w:rsidR="0023781F">
        <w:t xml:space="preserve"> and females,</w:t>
      </w:r>
      <w:r w:rsidR="002078C8">
        <w:t xml:space="preserve"> </w:t>
      </w:r>
      <w:r w:rsidR="0023781F">
        <w:t>i</w:t>
      </w:r>
      <w:r w:rsidR="00340688">
        <w:t xml:space="preserve">nformation regarding the </w:t>
      </w:r>
      <w:r w:rsidR="00083E5B">
        <w:t>differences</w:t>
      </w:r>
      <w:r w:rsidR="00273988">
        <w:t xml:space="preserve"> and </w:t>
      </w:r>
      <w:r w:rsidR="00AF6A60">
        <w:t>similarities between</w:t>
      </w:r>
      <w:r w:rsidR="0023781F">
        <w:t xml:space="preserve"> male and female</w:t>
      </w:r>
      <w:r w:rsidR="00083E5B">
        <w:t xml:space="preserve"> rabbit</w:t>
      </w:r>
      <w:r w:rsidR="0023781F">
        <w:t xml:space="preserve"> VFs</w:t>
      </w:r>
      <w:r w:rsidR="00083E5B">
        <w:t xml:space="preserve"> is virtually non-existent</w:t>
      </w:r>
      <w:r w:rsidR="009D5AE3">
        <w:t xml:space="preserve">. </w:t>
      </w:r>
      <w:r w:rsidR="000F22FE">
        <w:t>T</w:t>
      </w:r>
      <w:r w:rsidR="00084D48">
        <w:t>o more prec</w:t>
      </w:r>
      <w:r w:rsidR="000F22FE">
        <w:t>ise</w:t>
      </w:r>
      <w:r w:rsidR="00084D48">
        <w:t xml:space="preserve">ly use </w:t>
      </w:r>
      <w:r w:rsidR="00EF14AD" w:rsidRPr="00EF14AD">
        <w:rPr>
          <w:i/>
          <w:iCs/>
        </w:rPr>
        <w:t>in-vivo</w:t>
      </w:r>
      <w:r w:rsidR="00EF14AD">
        <w:t xml:space="preserve"> animal</w:t>
      </w:r>
      <w:r w:rsidR="00084D48">
        <w:t xml:space="preserve"> models to </w:t>
      </w:r>
      <w:r w:rsidR="000F22FE">
        <w:t>conclude</w:t>
      </w:r>
      <w:r w:rsidR="00084D48">
        <w:t xml:space="preserve"> VF biology to the general human population, </w:t>
      </w:r>
      <w:r w:rsidR="000F22FE">
        <w:t>future studies should</w:t>
      </w:r>
      <w:r w:rsidR="00084D48">
        <w:t xml:space="preserve"> </w:t>
      </w:r>
      <w:r w:rsidR="007652C8">
        <w:t>include similar distributions of both male and female animals.</w:t>
      </w:r>
    </w:p>
    <w:p w14:paraId="0DBFAD82" w14:textId="24B6FEF4" w:rsidR="007377AA" w:rsidRDefault="007377AA" w:rsidP="00A86111">
      <w:pPr>
        <w:pStyle w:val="Heading1"/>
      </w:pPr>
      <w:bookmarkStart w:id="130" w:name="_Toc88218570"/>
      <w:bookmarkEnd w:id="128"/>
      <w:r>
        <w:t>Conclusion</w:t>
      </w:r>
      <w:r w:rsidR="003E11D2">
        <w:t xml:space="preserve"> and Clinical Implications</w:t>
      </w:r>
      <w:bookmarkEnd w:id="130"/>
    </w:p>
    <w:p w14:paraId="782D48D1" w14:textId="77777777" w:rsidR="003E11D2" w:rsidRDefault="00D20CE8" w:rsidP="001039F7">
      <w:pPr>
        <w:rPr>
          <w:color w:val="000000" w:themeColor="text1"/>
        </w:rPr>
      </w:pPr>
      <w:r w:rsidRPr="008926D2">
        <w:rPr>
          <w:rFonts w:cstheme="minorHAnsi"/>
        </w:rPr>
        <w:t>Immunolabeling</w:t>
      </w:r>
      <w:r w:rsidR="0025456F">
        <w:rPr>
          <w:rFonts w:cstheme="minorHAnsi"/>
        </w:rPr>
        <w:t xml:space="preserve"> of key integral membrane proteins in rabbit</w:t>
      </w:r>
      <w:r w:rsidR="000F22FE">
        <w:rPr>
          <w:rFonts w:cstheme="minorHAnsi"/>
        </w:rPr>
        <w:t>s</w:t>
      </w:r>
      <w:r w:rsidR="0025456F">
        <w:rPr>
          <w:rFonts w:cstheme="minorHAnsi"/>
        </w:rPr>
        <w:t xml:space="preserve"> and human</w:t>
      </w:r>
      <w:r w:rsidR="003933BE">
        <w:rPr>
          <w:rFonts w:cstheme="minorHAnsi"/>
        </w:rPr>
        <w:t>s</w:t>
      </w:r>
      <w:r>
        <w:rPr>
          <w:rFonts w:cstheme="minorHAnsi"/>
        </w:rPr>
        <w:t xml:space="preserve"> revealed </w:t>
      </w:r>
      <w:r w:rsidRPr="008926D2">
        <w:rPr>
          <w:rFonts w:cstheme="minorHAnsi"/>
        </w:rPr>
        <w:t>similar localization</w:t>
      </w:r>
      <w:r w:rsidR="003933BE">
        <w:rPr>
          <w:rFonts w:cstheme="minorHAnsi"/>
        </w:rPr>
        <w:t xml:space="preserve"> in the VFs</w:t>
      </w:r>
      <w:r w:rsidRPr="008926D2">
        <w:rPr>
          <w:rFonts w:cstheme="minorHAnsi"/>
        </w:rPr>
        <w:t xml:space="preserve"> </w:t>
      </w:r>
      <w:r>
        <w:rPr>
          <w:rFonts w:cstheme="minorHAnsi"/>
        </w:rPr>
        <w:t>between species</w:t>
      </w:r>
      <w:r w:rsidR="003E37E0">
        <w:rPr>
          <w:rFonts w:cstheme="minorHAnsi"/>
          <w:color w:val="000000"/>
        </w:rPr>
        <w:t xml:space="preserve">, supporting the utility of rabbits as a model </w:t>
      </w:r>
      <w:r w:rsidR="00150FF0">
        <w:rPr>
          <w:rFonts w:cstheme="minorHAnsi"/>
          <w:color w:val="000000"/>
        </w:rPr>
        <w:t>to investigate</w:t>
      </w:r>
      <w:r w:rsidR="009B5C12">
        <w:rPr>
          <w:rFonts w:cstheme="minorHAnsi"/>
          <w:color w:val="000000"/>
        </w:rPr>
        <w:t xml:space="preserve"> treatment</w:t>
      </w:r>
      <w:r w:rsidR="00CD5CBA">
        <w:rPr>
          <w:rFonts w:cstheme="minorHAnsi"/>
          <w:color w:val="000000"/>
        </w:rPr>
        <w:t>s</w:t>
      </w:r>
      <w:r w:rsidR="009B5C12">
        <w:rPr>
          <w:rFonts w:cstheme="minorHAnsi"/>
          <w:color w:val="000000"/>
        </w:rPr>
        <w:t xml:space="preserve"> for</w:t>
      </w:r>
      <w:r w:rsidR="003E37E0">
        <w:rPr>
          <w:rFonts w:cstheme="minorHAnsi"/>
          <w:color w:val="000000"/>
        </w:rPr>
        <w:t xml:space="preserve"> </w:t>
      </w:r>
      <w:r w:rsidR="009B5C12">
        <w:rPr>
          <w:rFonts w:cstheme="minorHAnsi"/>
          <w:color w:val="000000"/>
        </w:rPr>
        <w:t>voice</w:t>
      </w:r>
      <w:r w:rsidR="00150FF0">
        <w:rPr>
          <w:rFonts w:cstheme="minorHAnsi"/>
          <w:color w:val="000000"/>
        </w:rPr>
        <w:t xml:space="preserve"> disorders</w:t>
      </w:r>
      <w:r w:rsidR="00E51CD2">
        <w:rPr>
          <w:rFonts w:cstheme="minorHAnsi"/>
          <w:color w:val="000000"/>
        </w:rPr>
        <w:t xml:space="preserve">. </w:t>
      </w:r>
      <w:r w:rsidR="00C02A15">
        <w:rPr>
          <w:rFonts w:cstheme="minorHAnsi"/>
          <w:color w:val="000000"/>
        </w:rPr>
        <w:t xml:space="preserve">Rabbits treated with daily intramuscular </w:t>
      </w:r>
      <w:r w:rsidR="00C02A15">
        <w:rPr>
          <w:color w:val="000000" w:themeColor="text1"/>
        </w:rPr>
        <w:t>d</w:t>
      </w:r>
      <w:r w:rsidR="00BA1681">
        <w:rPr>
          <w:color w:val="000000" w:themeColor="text1"/>
        </w:rPr>
        <w:t>examethasone</w:t>
      </w:r>
      <w:r w:rsidR="00F90094">
        <w:rPr>
          <w:color w:val="000000" w:themeColor="text1"/>
        </w:rPr>
        <w:t xml:space="preserve"> revealed</w:t>
      </w:r>
      <w:r w:rsidR="00BA1681">
        <w:rPr>
          <w:color w:val="000000" w:themeColor="text1"/>
        </w:rPr>
        <w:t xml:space="preserve"> increases</w:t>
      </w:r>
      <w:r w:rsidR="00F90094">
        <w:rPr>
          <w:color w:val="000000" w:themeColor="text1"/>
        </w:rPr>
        <w:t xml:space="preserve"> in</w:t>
      </w:r>
      <w:r w:rsidR="00BA1681">
        <w:rPr>
          <w:color w:val="000000" w:themeColor="text1"/>
        </w:rPr>
        <w:t xml:space="preserve"> VF epithelial and endothelial TJ expression, which may</w:t>
      </w:r>
      <w:r w:rsidR="00F90094">
        <w:rPr>
          <w:color w:val="000000" w:themeColor="text1"/>
        </w:rPr>
        <w:t xml:space="preserve"> indicate</w:t>
      </w:r>
      <w:r w:rsidR="00BA1681">
        <w:rPr>
          <w:color w:val="000000" w:themeColor="text1"/>
        </w:rPr>
        <w:t xml:space="preserve"> improve</w:t>
      </w:r>
      <w:r w:rsidR="00F90094">
        <w:rPr>
          <w:color w:val="000000" w:themeColor="text1"/>
        </w:rPr>
        <w:t>d</w:t>
      </w:r>
      <w:r w:rsidR="00BA1681">
        <w:rPr>
          <w:color w:val="000000" w:themeColor="text1"/>
        </w:rPr>
        <w:t xml:space="preserve"> VF barrier integrity and provide better protection of the underlying connective tissue. </w:t>
      </w:r>
      <w:r w:rsidR="00770921">
        <w:rPr>
          <w:color w:val="000000" w:themeColor="text1"/>
        </w:rPr>
        <w:t>A</w:t>
      </w:r>
      <w:r w:rsidR="00770921" w:rsidRPr="003E2C01">
        <w:rPr>
          <w:color w:val="000000" w:themeColor="text1"/>
        </w:rPr>
        <w:t xml:space="preserve">lthough global </w:t>
      </w:r>
      <w:r w:rsidR="00770921">
        <w:rPr>
          <w:color w:val="000000" w:themeColor="text1"/>
        </w:rPr>
        <w:t xml:space="preserve">body mass </w:t>
      </w:r>
      <w:r w:rsidR="00770921" w:rsidRPr="003E2C01">
        <w:rPr>
          <w:color w:val="000000" w:themeColor="text1"/>
        </w:rPr>
        <w:t>loss occurred with daily</w:t>
      </w:r>
      <w:r w:rsidR="00BA1681">
        <w:rPr>
          <w:color w:val="000000" w:themeColor="text1"/>
        </w:rPr>
        <w:t xml:space="preserve"> intramuscular</w:t>
      </w:r>
      <w:r w:rsidR="00770921" w:rsidRPr="003E2C01">
        <w:rPr>
          <w:color w:val="000000" w:themeColor="text1"/>
        </w:rPr>
        <w:t xml:space="preserve"> methylprednisolone</w:t>
      </w:r>
      <w:r w:rsidR="00BA1681">
        <w:rPr>
          <w:color w:val="000000" w:themeColor="text1"/>
        </w:rPr>
        <w:t xml:space="preserve"> treatment</w:t>
      </w:r>
      <w:r w:rsidR="00770921" w:rsidRPr="003E2C01">
        <w:rPr>
          <w:color w:val="000000" w:themeColor="text1"/>
        </w:rPr>
        <w:t>,</w:t>
      </w:r>
      <w:r w:rsidR="00770921">
        <w:rPr>
          <w:color w:val="000000" w:themeColor="text1"/>
        </w:rPr>
        <w:t xml:space="preserve"> there were no observed drug effects</w:t>
      </w:r>
      <w:r w:rsidR="00770921" w:rsidRPr="003E2C01">
        <w:rPr>
          <w:color w:val="000000" w:themeColor="text1"/>
        </w:rPr>
        <w:t xml:space="preserve"> associated with changes in </w:t>
      </w:r>
      <w:r w:rsidR="006A42FA">
        <w:rPr>
          <w:color w:val="000000" w:themeColor="text1"/>
        </w:rPr>
        <w:t>TA</w:t>
      </w:r>
      <w:r w:rsidR="00770921" w:rsidRPr="003E2C01">
        <w:rPr>
          <w:color w:val="000000" w:themeColor="text1"/>
        </w:rPr>
        <w:t xml:space="preserve"> muscle morpholog</w:t>
      </w:r>
      <w:r w:rsidR="00770921">
        <w:rPr>
          <w:color w:val="000000" w:themeColor="text1"/>
        </w:rPr>
        <w:t>y</w:t>
      </w:r>
      <w:r w:rsidR="006A42FA">
        <w:rPr>
          <w:color w:val="000000" w:themeColor="text1"/>
        </w:rPr>
        <w:t>.</w:t>
      </w:r>
      <w:r w:rsidR="001039F7">
        <w:rPr>
          <w:color w:val="000000" w:themeColor="text1"/>
        </w:rPr>
        <w:t xml:space="preserve"> Similarly, rabbits receiving a bilateral intracordal injection of dexamethasone did not reveal any changes in TA</w:t>
      </w:r>
      <w:r w:rsidR="001039F7" w:rsidRPr="003E2C01">
        <w:rPr>
          <w:color w:val="000000" w:themeColor="text1"/>
        </w:rPr>
        <w:t xml:space="preserve"> muscle morpholog</w:t>
      </w:r>
      <w:r w:rsidR="001039F7">
        <w:rPr>
          <w:color w:val="000000" w:themeColor="text1"/>
        </w:rPr>
        <w:t>y o</w:t>
      </w:r>
      <w:r w:rsidR="00665930">
        <w:rPr>
          <w:color w:val="000000" w:themeColor="text1"/>
        </w:rPr>
        <w:t>r</w:t>
      </w:r>
      <w:r w:rsidR="001039F7">
        <w:rPr>
          <w:color w:val="000000" w:themeColor="text1"/>
        </w:rPr>
        <w:t xml:space="preserve"> atrophy associated gene expression</w:t>
      </w:r>
      <w:r w:rsidR="00711F90">
        <w:rPr>
          <w:color w:val="000000" w:themeColor="text1"/>
        </w:rPr>
        <w:t>,</w:t>
      </w:r>
      <w:r w:rsidR="00770921">
        <w:rPr>
          <w:color w:val="000000" w:themeColor="text1"/>
        </w:rPr>
        <w:t xml:space="preserve"> </w:t>
      </w:r>
      <w:bookmarkStart w:id="131" w:name="_Hlk86045183"/>
      <w:r w:rsidR="001039F7">
        <w:rPr>
          <w:color w:val="000000" w:themeColor="text1"/>
        </w:rPr>
        <w:t>support</w:t>
      </w:r>
      <w:r w:rsidR="00711F90">
        <w:rPr>
          <w:color w:val="000000" w:themeColor="text1"/>
        </w:rPr>
        <w:t>ing</w:t>
      </w:r>
      <w:r w:rsidR="001039F7">
        <w:rPr>
          <w:color w:val="000000" w:themeColor="text1"/>
        </w:rPr>
        <w:t xml:space="preserve"> the use of a single intracordal injection of dexamethasone</w:t>
      </w:r>
      <w:r w:rsidR="00E8687E">
        <w:rPr>
          <w:color w:val="000000" w:themeColor="text1"/>
        </w:rPr>
        <w:t xml:space="preserve"> in treating laryngeal indications</w:t>
      </w:r>
      <w:r w:rsidR="00711F90">
        <w:rPr>
          <w:color w:val="000000" w:themeColor="text1"/>
        </w:rPr>
        <w:t xml:space="preserve">. </w:t>
      </w:r>
      <w:bookmarkEnd w:id="131"/>
    </w:p>
    <w:p w14:paraId="751D104B" w14:textId="7D5E2868" w:rsidR="003E11D2" w:rsidRDefault="00711F90" w:rsidP="001C743F">
      <w:pPr>
        <w:rPr>
          <w:color w:val="000000" w:themeColor="text1"/>
        </w:rPr>
      </w:pPr>
      <w:r>
        <w:rPr>
          <w:color w:val="000000" w:themeColor="text1"/>
        </w:rPr>
        <w:t>Th</w:t>
      </w:r>
      <w:r w:rsidR="00655F89">
        <w:rPr>
          <w:color w:val="000000" w:themeColor="text1"/>
        </w:rPr>
        <w:t>e</w:t>
      </w:r>
      <w:r>
        <w:rPr>
          <w:color w:val="000000" w:themeColor="text1"/>
        </w:rPr>
        <w:t xml:space="preserve"> </w:t>
      </w:r>
      <w:r w:rsidR="003E11D2">
        <w:rPr>
          <w:color w:val="000000" w:themeColor="text1"/>
        </w:rPr>
        <w:t>differential effects</w:t>
      </w:r>
      <w:r w:rsidR="00655F89">
        <w:rPr>
          <w:color w:val="000000" w:themeColor="text1"/>
        </w:rPr>
        <w:t xml:space="preserve"> of GCs</w:t>
      </w:r>
      <w:r w:rsidR="003E11D2">
        <w:rPr>
          <w:color w:val="000000" w:themeColor="text1"/>
        </w:rPr>
        <w:t xml:space="preserve"> discovered in the current study emphasize the </w:t>
      </w:r>
      <w:r w:rsidR="001C743F">
        <w:rPr>
          <w:color w:val="000000" w:themeColor="text1"/>
        </w:rPr>
        <w:t xml:space="preserve">important </w:t>
      </w:r>
      <w:r w:rsidR="00770921">
        <w:rPr>
          <w:color w:val="000000" w:themeColor="text1"/>
        </w:rPr>
        <w:t xml:space="preserve">role </w:t>
      </w:r>
      <w:r w:rsidR="003E11D2">
        <w:rPr>
          <w:color w:val="000000" w:themeColor="text1"/>
        </w:rPr>
        <w:t>physicians</w:t>
      </w:r>
      <w:r w:rsidR="001C743F">
        <w:rPr>
          <w:color w:val="000000" w:themeColor="text1"/>
        </w:rPr>
        <w:t xml:space="preserve"> have</w:t>
      </w:r>
      <w:r w:rsidR="003E11D2">
        <w:rPr>
          <w:color w:val="000000" w:themeColor="text1"/>
        </w:rPr>
        <w:t xml:space="preserve"> to </w:t>
      </w:r>
      <w:r w:rsidR="00770921">
        <w:rPr>
          <w:color w:val="000000" w:themeColor="text1"/>
        </w:rPr>
        <w:t>tailor</w:t>
      </w:r>
      <w:r w:rsidR="003E11D2">
        <w:rPr>
          <w:color w:val="000000" w:themeColor="text1"/>
        </w:rPr>
        <w:t xml:space="preserve"> GC selection based on patient-specific needs when treating voice disorders. For example, </w:t>
      </w:r>
      <w:r w:rsidR="002B34FC">
        <w:rPr>
          <w:color w:val="000000" w:themeColor="text1"/>
        </w:rPr>
        <w:t>i</w:t>
      </w:r>
      <w:r w:rsidR="003E11D2">
        <w:rPr>
          <w:color w:val="000000" w:themeColor="text1"/>
        </w:rPr>
        <w:t xml:space="preserve">ndividuals who have a compromised VF epithelial barrier, as seen in </w:t>
      </w:r>
      <w:r w:rsidR="003E11D2" w:rsidRPr="005F0974">
        <w:rPr>
          <w:rFonts w:cstheme="minorHAnsi"/>
        </w:rPr>
        <w:t>patients with laryngopharyngeal reflux</w:t>
      </w:r>
      <w:r w:rsidR="00A554A1">
        <w:rPr>
          <w:rFonts w:cstheme="minorHAnsi"/>
        </w:rPr>
        <w:t>,</w:t>
      </w:r>
      <w:r w:rsidR="003E11D2" w:rsidRPr="005F0974">
        <w:rPr>
          <w:rFonts w:cstheme="minorHAnsi"/>
        </w:rPr>
        <w:fldChar w:fldCharType="begin"/>
      </w:r>
      <w:r w:rsidR="00DA7707">
        <w:rPr>
          <w:rFonts w:cstheme="minorHAnsi"/>
        </w:rPr>
        <w:instrText xml:space="preserve"> ADDIN ZOTERO_ITEM CSL_CITATION {"citationID":"R1xVUUo0","properties":{"formattedCitation":"\\super 236,237\\nosupersub{}","plainCitation":"236,237","noteIndex":0},"citationItems":[{"id":"cN3eXgV6/r32Tnulv","uris":["http://www.mendeley.com/documents/?uuid=ad6b9c8c-29cc-481e-9543-0c34ecf12295"],"uri":["http://www.mendeley.com/documents/?uuid=ad6b9c8c-29cc-481e-9543-0c34ecf12295"],"itemData":{"DOI":"10.1136/jcp.2004.016972","ISBN":"0021-9746 (Print)\\r0021-9746 (Linking)","ISSN":"00219746","PMID":"16311345","abstract":"The disruption of intercellular junctions in the larynx is a pathological feature of laryngopharyngeal reflux (LPR). Good experimental models are necessary to gain greater insight into the molecular mechanisms and alterations that result from abnormal exposure of the laryngeal epithelium to acid refluxate.","author":[{"dropping-particle":"","family":"Gill","given":"G. A.","non-dropping-particle":"","parse-names":false,"suffix":""},{"dropping-particle":"","family":"Buda","given":"A.","non-dropping-particle":"","parse-names":false,"suffix":""},{"dropping-particle":"","family":"Moorghen","given":"M.","non-dropping-particle":"","parse-names":false,"suffix":""},{"dropping-particle":"","family":"Dettmar","given":"P. W.","non-dropping-particle":"","parse-names":false,"suffix":""},{"dropping-particle":"","family":"Pignatelli","given":"M.","non-dropping-particle":"","parse-names":false,"suffix":""}],"container-title":"Journal of Clinical Pathology","id":"3gB2yWWo/nv1jd4lW","issue":"12","issued":{"date-parts":[["2005"]]},"page":"1265-1270","title":"Characterisation of adherens and tight junctional molecules in normal animal larynx; determining a suitable model for studying molecular abnormalities in human laryngopharyngeal reflux","type":"article-journal","volume":"58"}},{"id":606,"uris":["http://zotero.org/users/6281125/items/DDKVF89Y"],"uri":["http://zotero.org/users/6281125/items/DDKVF89Y"],"itemData":{"id":606,"type":"article-journal","abstract":"This is the second annual report of an international collaborative research group that is examining the cellular impact of laryngopharyngeal reflux (LPR) on laryngeal epithelium. The results of clinical and experimental studies are presented. Carbonic anhydrase (CA), E-cadherin, and MUC gene expression were analyzed in patients with LPR, in controls, and in an in vitro model. In patients with LPR, we found decreased levels of CAIII in vocal fold epithelium and increased levels in posterior commissure epithelium. The experimental studies confirm that laryngeal CAIII is depleted in response to reflux. Also, cell damage does occur well above pH 4.0. In addition, E-cadherin (transmembrane cell surface molecules, which have a key function in epithelial cell adhesion) was not present in 37% of the LPR laryngeal specimens. In conclusion, the laryngeal epithelium lacks defenses comparable to those in esophageal epithelium, and these differences may contribute to the increased susceptibility of laryngeal epithelium to reflux-related injury.","container-title":"Annals of Otology, Rhinology and Laryngology","DOI":"10.1177/000348940111001203","ISSN":"00034894","issue":"6","note":"PMID: 12834114","page":"481–491","title":"Cell biology of laryngeal epithelial defenses in health and disease: Further studies","volume":"112","author":[{"family":"Bulmer","given":"David"},{"family":"Ross","given":"Peter E."},{"family":"Axford","given":"Sophie E."},{"family":"Johnston","given":"Nikki"},{"family":"Gill","given":"Gulnaz A."},{"family":"Pearson","given":"Jeffrey P."},{"family":"Dettmar","given":"Peter W."},{"family":"Panetti","given":"Marguerite"},{"family":"Pignatelli","given":"Massimo"},{"family":"Koufman","given":"James A."}],"issued":{"date-parts":[["2003"]]}}}],"schema":"https://github.com/citation-style-language/schema/raw/master/csl-citation.json"} </w:instrText>
      </w:r>
      <w:r w:rsidR="003E11D2" w:rsidRPr="005F0974">
        <w:rPr>
          <w:rFonts w:cstheme="minorHAnsi"/>
        </w:rPr>
        <w:fldChar w:fldCharType="separate"/>
      </w:r>
      <w:r w:rsidR="00DA7707" w:rsidRPr="00DA7707">
        <w:rPr>
          <w:rFonts w:ascii="Calibri" w:hAnsi="Calibri" w:cs="Calibri"/>
          <w:vertAlign w:val="superscript"/>
        </w:rPr>
        <w:t>236,237</w:t>
      </w:r>
      <w:r w:rsidR="003E11D2" w:rsidRPr="005F0974">
        <w:rPr>
          <w:rFonts w:cstheme="minorHAnsi"/>
        </w:rPr>
        <w:fldChar w:fldCharType="end"/>
      </w:r>
      <w:r w:rsidR="001C743F">
        <w:rPr>
          <w:rFonts w:cstheme="minorHAnsi"/>
        </w:rPr>
        <w:t xml:space="preserve"> may benefit from</w:t>
      </w:r>
      <w:r w:rsidR="002B34FC">
        <w:rPr>
          <w:rFonts w:cstheme="minorHAnsi"/>
        </w:rPr>
        <w:t xml:space="preserve"> dexamethason</w:t>
      </w:r>
      <w:r w:rsidR="00E85F57">
        <w:rPr>
          <w:rFonts w:cstheme="minorHAnsi"/>
        </w:rPr>
        <w:t>e treatment</w:t>
      </w:r>
      <w:r w:rsidR="001C743F">
        <w:rPr>
          <w:rFonts w:cstheme="minorHAnsi"/>
        </w:rPr>
        <w:t xml:space="preserve">. Similarly, physicians may want to avoid using serial methylprednisolone treatment in patients who have difficulty maintaining healthy body weight, as this GC </w:t>
      </w:r>
      <w:r w:rsidR="00C21E7D">
        <w:rPr>
          <w:rFonts w:cstheme="minorHAnsi"/>
        </w:rPr>
        <w:t>was observed to</w:t>
      </w:r>
      <w:r w:rsidR="001C743F">
        <w:rPr>
          <w:rFonts w:cstheme="minorHAnsi"/>
        </w:rPr>
        <w:t xml:space="preserve"> be associated with rapid weight loss. These findings will provide physicians with additional objective evidence when selecting GCs for treating voice disorders as well as other conditions where GCs are utilized. </w:t>
      </w:r>
    </w:p>
    <w:p w14:paraId="6E383821" w14:textId="77777777" w:rsidR="00770921" w:rsidRPr="00770921" w:rsidRDefault="00770921" w:rsidP="00770921"/>
    <w:p w14:paraId="2A49A749" w14:textId="77777777" w:rsidR="00816E5F" w:rsidRDefault="00816E5F" w:rsidP="00816E5F">
      <w:pPr>
        <w:pStyle w:val="Heading1"/>
      </w:pPr>
      <w:bookmarkStart w:id="132" w:name="_Toc88218571"/>
      <w:r>
        <w:t>Future Directions</w:t>
      </w:r>
      <w:bookmarkEnd w:id="132"/>
    </w:p>
    <w:p w14:paraId="26C62883" w14:textId="233930C7" w:rsidR="00816E5F" w:rsidRDefault="00816E5F" w:rsidP="009025C4">
      <w:r>
        <w:t>The etiology of voice disorders is wide-ranging with varying treatment efficacy. The current oversimplified clinical paradigm dichotomizes voice disorders into two distinct categories: mucosal injury and neuromuscular dysfunction. A concern with the current dichotomous classification of these two diagnoses is the disregard of potential interactions with the various tissue types of the VF. There is a large body of evidence describing the potential interactions between mucosa and muscle in lower airway diseases. For example, patients with asthma who have mucosal inflammation were also observed to have increased contractile properties</w:t>
      </w:r>
      <w:r>
        <w:fldChar w:fldCharType="begin"/>
      </w:r>
      <w:r w:rsidR="00DA7707">
        <w:instrText xml:space="preserve"> ADDIN ZOTERO_ITEM CSL_CITATION {"citationID":"xRel09pK","properties":{"formattedCitation":"\\super 258\\nosupersub{}","plainCitation":"258","noteIndex":0},"citationItems":[{"id":2366,"uris":["http://zotero.org/users/6281125/items/K7XBSQIV"],"uri":["http://zotero.org/users/6281125/items/K7XBSQIV"],"itemData":{"id":2366,"type":"article-journal","language":"en","page":"8","source":"Zotero","title":"Structural and Functional Changes in the Airway Smooth Muscle of Asthmatic Subjects","volume":"158","author":[{"family":"Seow","given":"Chun Y"},{"family":"Schellenberg","given":"R Robert"},{"family":"Paré","given":"Peter D"}],"issued":{"date-parts":[["1998"]]}}}],"schema":"https://github.com/citation-style-language/schema/raw/master/csl-citation.json"} </w:instrText>
      </w:r>
      <w:r>
        <w:fldChar w:fldCharType="separate"/>
      </w:r>
      <w:r w:rsidR="00DA7707" w:rsidRPr="00DA7707">
        <w:rPr>
          <w:rFonts w:ascii="Calibri" w:hAnsi="Calibri" w:cs="Calibri"/>
          <w:vertAlign w:val="superscript"/>
        </w:rPr>
        <w:t>258</w:t>
      </w:r>
      <w:r>
        <w:fldChar w:fldCharType="end"/>
      </w:r>
      <w:r>
        <w:t xml:space="preserve"> and hypertrophy of the airway muscles.</w:t>
      </w:r>
      <w:r w:rsidR="00CC2F14">
        <w:fldChar w:fldCharType="begin"/>
      </w:r>
      <w:r w:rsidR="00DA7707">
        <w:instrText xml:space="preserve"> ADDIN ZOTERO_ITEM CSL_CITATION {"citationID":"a6UrIzpS","properties":{"formattedCitation":"\\super 259,260\\nosupersub{}","plainCitation":"259,260","noteIndex":0},"citationItems":[{"id":2369,"uris":["http://zotero.org/users/6281125/items/44UT9BGX"],"uri":["http://zotero.org/users/6281125/items/44UT9BGX"],"itemData":{"id":2369,"type":"article-journal","abstract":"In order to study whether hyperplasia or hypertrophy of cells is responsible for the thickening of airway muscles, 3-D morphometry of airway muscle cells was performed on resin-embedded semithin se...","archive_location":"world","container-title":"American Review of Respiratory Disease","DOI":"10.1164/ajrccm/148.3.720","language":"EN","note":"publisher: American Lung Association","source":"www.atsjournals.org","title":"Cellular hypertrophy and hyperplasia of airway smooth muscles underlying bronchial asthma: A 3-D morphometric study","title-short":"Cellular Hypertrophy and Hyperplasia of Airway Smooth Muscles Underlying Bronchial Asthma","URL":"https://www.atsjournals.org/doi/pdf/10.1164/ajrccm/148.3.720","volume":"148","author":[{"family":"Ebina","given":"Masahito"},{"family":"Takahashi","given":"Tohru"},{"family":"Chiba","given":"Tamihiko"},{"family":"Motomiya","given":"Masakichi"}],"accessed":{"date-parts":[["2021",6,24]]},"issued":{"date-parts":[["720"]],"season":"726"}}},{"id":2368,"uris":["http://zotero.org/users/6281125/items/H3SLHLHZ"],"uri":["http://zotero.org/users/6281125/items/H3SLHLHZ"],"itemData":{"id":2368,"type":"article-journal","container-title":"1960 Jan 1","issue":"1","journalAbbreviation":"Journal of clinical pathology","language":"en","page":"27-33","source":"Zotero","title":"The pathology of asthma, with special reference to changes in the bronchial mucosa","volume":"13","author":[{"family":"Dunnill","given":"M"}]}}],"schema":"https://github.com/citation-style-language/schema/raw/master/csl-citation.json"} </w:instrText>
      </w:r>
      <w:r w:rsidR="00CC2F14">
        <w:fldChar w:fldCharType="separate"/>
      </w:r>
      <w:r w:rsidR="00DA7707" w:rsidRPr="00DA7707">
        <w:rPr>
          <w:rFonts w:ascii="Calibri" w:hAnsi="Calibri" w:cs="Calibri"/>
          <w:vertAlign w:val="superscript"/>
        </w:rPr>
        <w:t>259,260</w:t>
      </w:r>
      <w:r w:rsidR="00CC2F14">
        <w:fldChar w:fldCharType="end"/>
      </w:r>
      <w:r>
        <w:t xml:space="preserve"> There is also evidence of altered expression of contractile proteins in airway muscles in instances of severe mucosal inflammation.</w:t>
      </w:r>
      <w:r w:rsidR="009A62B1">
        <w:fldChar w:fldCharType="begin"/>
      </w:r>
      <w:r w:rsidR="00DA7707">
        <w:instrText xml:space="preserve"> ADDIN ZOTERO_ITEM CSL_CITATION {"citationID":"jFWTtUF0","properties":{"formattedCitation":"\\super 261\\nosupersub{}","plainCitation":"261","noteIndex":0},"citationItems":[{"id":2372,"uris":["http://zotero.org/users/6281125/items/IDMAVIWM"],"uri":["http://zotero.org/users/6281125/items/IDMAVIWM"],"itemData":{"id":2372,"type":"article-journal","abstract":"Objectives: We tested the hypothesis that the expression of genes coding for SM contractile proteins is altered in asthmatic airways and contributes to their increased Vmax.\nMethods: We quantiﬁed the expression of several genes that code for SM contractile proteins in mild allergic asthmatic and control human airway endobronchial biopsies. The function of these contractile proteins was tested using the in vitro motility assay.\nMeasurements and Main Results: We observed an increased expression of the fast myosin heavy chain isoform, transgelin, and myosin light chain kinase in patients with asthma. Immunohistochemistry demonstrated the expression of these genes at the protein level. To address the functional signiﬁcance of this overexpression, we puriﬁed tracheal myosin from the hyperresponsive Fisher rats, which also overexpress the fast myosin heavy chain isoform as compared with the normoresponsive Lewis rats, and found a faster rate of actin ﬁlament propulsion. Conversely, transgelin did not alter the rate of actin ﬁlament propulsion.\nConclusions: Selective overexpression of airway smooth muscle genes in asthmatic airways leads to increased Vmax, thus contributing to the airway hyperresponsiveness observed in asthma.","language":"en","page":"11","source":"Zotero","title":"Myosin, Transgelin, and Myosin Light Chain Kinase","volume":"179","author":[{"family":"Léguillette","given":"Renaud"},{"family":"Laviolette","given":"Michel"},{"family":"Bergeron","given":"Celine"},{"family":"Zitouni","given":"Nedjma"},{"family":"Kogut","given":"Paul"},{"family":"Solway","given":"Julian"},{"family":"Kachmar","given":"Linda"},{"family":"Hamid","given":"Qutayba"},{"family":"Lauzon","given":"Anne-Marie"}],"issued":{"date-parts":[["2009"]]}}}],"schema":"https://github.com/citation-style-language/schema/raw/master/csl-citation.json"} </w:instrText>
      </w:r>
      <w:r w:rsidR="009A62B1">
        <w:fldChar w:fldCharType="separate"/>
      </w:r>
      <w:r w:rsidR="00DA7707" w:rsidRPr="00DA7707">
        <w:rPr>
          <w:vertAlign w:val="superscript"/>
        </w:rPr>
        <w:t>261</w:t>
      </w:r>
      <w:r w:rsidR="009A62B1">
        <w:fldChar w:fldCharType="end"/>
      </w:r>
      <w:r>
        <w:t xml:space="preserve"> In the context of VF tissue, preliminary investigations </w:t>
      </w:r>
      <w:r w:rsidR="009A62B1">
        <w:t>have</w:t>
      </w:r>
      <w:r>
        <w:t xml:space="preserve"> recently observed bidirectional interactions between mucosa and muscle</w:t>
      </w:r>
      <w:r w:rsidR="009A62B1">
        <w:t xml:space="preserve">. </w:t>
      </w:r>
      <w:r>
        <w:t xml:space="preserve"> </w:t>
      </w:r>
      <w:r w:rsidR="009A62B1">
        <w:t>M</w:t>
      </w:r>
      <w:r>
        <w:t xml:space="preserve">ost </w:t>
      </w:r>
      <w:r w:rsidR="009A62B1">
        <w:t>notably, studies observed</w:t>
      </w:r>
      <w:r>
        <w:t xml:space="preserve"> the favorable down-regulation of genes associated with fibrosis in the presence of rat laryngeal myoblast controlled media</w:t>
      </w:r>
      <w:r w:rsidR="009A62B1">
        <w:t xml:space="preserve"> </w:t>
      </w:r>
      <w:r>
        <w:t>and the unfavorable suppression of myogenesis in the presence of rat laryngeal fibroblast controlled me</w:t>
      </w:r>
      <w:r w:rsidR="009A62B1">
        <w:t>dia.</w:t>
      </w:r>
      <w:r w:rsidR="009A62B1">
        <w:fldChar w:fldCharType="begin"/>
      </w:r>
      <w:r w:rsidR="00DA7707">
        <w:instrText xml:space="preserve"> ADDIN ZOTERO_ITEM CSL_CITATION {"citationID":"oPYBjopg","properties":{"formattedCitation":"\\super 262\\nosupersub{}","plainCitation":"262","noteIndex":0},"citationItems":[{"id":2386,"uris":["http://zotero.org/users/6281125/items/UMKRK3HG"],"uri":["http://zotero.org/users/6281125/items/UMKRK3HG"],"itemData":{"id":2386,"type":"article-journal","abstract":"Objective:Oversimplified clinical dogma suggests that laryngeal diseases fall into two broad, mutually exclusive diagnostic categories-mucosal injury or neuromuscular/functional disorders. Extensive investigation in the lower airway as well as other organ systems suggest complex interactions between tissue types underlying both tissue health and pathological states. To date, no such relationship has been described in the vocal folds, likely the most bioactive organ in the body. We hypothesize interactions between the vocal fold muscle and mucosa likely contribute to aberrant phonatory physiology and warrant further investigation to ultimately develop novel therapeutic strategies.Methods:Primary culture of myoblasts from rat thyroarytenoid muscle and fibroblasts from the vocal fold mucosa were established. Co-culture and conditioned media experiments were performed to established bidirectional interactions between cell types. Transforming Growth Factor (TGF)-? was employed to stimulate a fibrotic phenotype in culture. In addition to quantitative PCR, standard migration and proliferation assays were performed as well as immunocytochemistry.Results:Bidirectional cell-cell interactions were observed. Without TGF-? stimulation, myoblast conditioned media inhibited fibroblast migration, but enhanced proliferation. Conversely, fibroblast conditioned media increased both myoblast proliferation and migration. Myoblast conditioned media decreased TGF-?-mediated gene expression and of particular interest, ACTA2 mRNA expression. In both co-culture and in response to fibroblast conditioned media, myosin heavy chain (Myh2) mRNA expression decreased in myoblasts.Conclusions:These data are the first to describe interactions between cell types within the vocal fold. The implications for these interactions in vivo warrant further investigation to develop and refine optimal treatment strategies.","container-title":"Annals of Otology, Rhinology &amp; Laryngology","DOI":"10.1177/00034894211028497","ISSN":"0003-4894","journalAbbreviation":"Ann Otol Rhinol Laryngol","note":"publisher: SAGE Publications Inc","page":"00034894211028497","source":"SAGE Journals","title":"Preliminary investigation of In vitro, bidirectional vocal fold muscle-mucosa interactions","author":[{"family":"Nakamura","given":"Rysouke"},{"family":"Doyle","given":"Carina"},{"family":"Bing","given":"Renjie"},{"family":"Johnson","given":"Aaron M."},{"family":"Branski","given":"Ryan C."}],"issued":{"date-parts":[["2021",7,1]]}}}],"schema":"https://github.com/citation-style-language/schema/raw/master/csl-citation.json"} </w:instrText>
      </w:r>
      <w:r w:rsidR="009A62B1">
        <w:fldChar w:fldCharType="separate"/>
      </w:r>
      <w:r w:rsidR="00DA7707" w:rsidRPr="00DA7707">
        <w:rPr>
          <w:vertAlign w:val="superscript"/>
        </w:rPr>
        <w:t>262</w:t>
      </w:r>
      <w:r w:rsidR="009A62B1">
        <w:fldChar w:fldCharType="end"/>
      </w:r>
      <w:r w:rsidR="009A62B1">
        <w:t xml:space="preserve"> </w:t>
      </w:r>
      <w:r w:rsidR="009A62B1" w:rsidRPr="009A62B1">
        <w:t>These data combined with our collective interest in developing novel and efficacious treatments for patients with voice-related disabilities provide the foundation for the current proposal.</w:t>
      </w:r>
    </w:p>
    <w:p w14:paraId="0060025C" w14:textId="64C696E6" w:rsidR="00D36FD3" w:rsidRDefault="009A62B1" w:rsidP="00D36FD3">
      <w:r>
        <w:t xml:space="preserve">I have recently taken a position as an Associate Research Scientist at </w:t>
      </w:r>
      <w:r w:rsidR="00D36FD3">
        <w:t xml:space="preserve">the NYU </w:t>
      </w:r>
      <w:r w:rsidRPr="009A62B1">
        <w:t xml:space="preserve">Grossman School of Medicine. I seek to expand this area of investigation with the ultimate goal of improved insight into mechanisms of voice-related disabilities and </w:t>
      </w:r>
      <w:r w:rsidR="00722C57" w:rsidRPr="009A62B1">
        <w:t>improvement</w:t>
      </w:r>
      <w:r w:rsidRPr="009A62B1">
        <w:t xml:space="preserve"> of therapeutic strategies for these challenging patients.</w:t>
      </w:r>
      <w:r w:rsidR="00D36FD3">
        <w:t xml:space="preserve"> </w:t>
      </w:r>
      <w:r w:rsidRPr="009A62B1">
        <w:t xml:space="preserve">I plan to combine </w:t>
      </w:r>
      <w:r w:rsidRPr="00D36FD3">
        <w:rPr>
          <w:i/>
          <w:iCs/>
        </w:rPr>
        <w:t>in vitro</w:t>
      </w:r>
      <w:r w:rsidRPr="009A62B1">
        <w:t xml:space="preserve"> studies of myoblasts, fibroblasts, and macrophages to investigate </w:t>
      </w:r>
      <w:r w:rsidR="00722C57">
        <w:t>the</w:t>
      </w:r>
      <w:r w:rsidRPr="009A62B1">
        <w:t xml:space="preserve"> interactions between </w:t>
      </w:r>
      <w:r w:rsidR="00722C57">
        <w:t>different</w:t>
      </w:r>
      <w:r w:rsidRPr="009A62B1">
        <w:t xml:space="preserve"> cell and tissue types within the VF</w:t>
      </w:r>
      <w:r w:rsidR="00722C57">
        <w:t>, and how these interactions</w:t>
      </w:r>
      <w:r w:rsidRPr="009A62B1">
        <w:t xml:space="preserve"> may </w:t>
      </w:r>
      <w:r w:rsidR="00722C57">
        <w:t>influence</w:t>
      </w:r>
      <w:r w:rsidR="00722C57" w:rsidRPr="009A62B1">
        <w:t xml:space="preserve"> </w:t>
      </w:r>
      <w:r w:rsidRPr="009A62B1">
        <w:t xml:space="preserve">response to injury. Additionally, established models of preclinical iatrogenic VF injury will be employed. Specifically, I </w:t>
      </w:r>
      <w:r w:rsidR="00D36FD3">
        <w:t xml:space="preserve">will investigate the </w:t>
      </w:r>
      <w:r w:rsidRPr="009A62B1">
        <w:t xml:space="preserve">effects of iatrogenic injury to the mucosa as a potential mediator of </w:t>
      </w:r>
      <w:r w:rsidR="00D36FD3" w:rsidRPr="009A62B1">
        <w:t>abnormal</w:t>
      </w:r>
      <w:r w:rsidRPr="009A62B1">
        <w:t xml:space="preserve"> laryngeal muscle physiology.</w:t>
      </w:r>
    </w:p>
    <w:p w14:paraId="529DD54D" w14:textId="43645644" w:rsidR="009A62B1" w:rsidRPr="009A62B1" w:rsidRDefault="00D36FD3" w:rsidP="00D36FD3">
      <w:r>
        <w:t xml:space="preserve"> </w:t>
      </w:r>
      <w:r w:rsidR="009A62B1" w:rsidRPr="009A62B1">
        <w:t>Ultimately, I seek to evolve as an independent investigator committed to elucidating the mechanisms underlying voice disorders to develop novel therapeutics for patients with voice-related disabilities</w:t>
      </w:r>
      <w:r>
        <w:t>.</w:t>
      </w:r>
      <w:r w:rsidR="009A62B1" w:rsidRPr="009A62B1">
        <w:t xml:space="preserve"> </w:t>
      </w:r>
      <w:r>
        <w:t xml:space="preserve">The training I received at the University of Pittsburgh in Dr. </w:t>
      </w:r>
      <w:r w:rsidR="00785310">
        <w:t>Rousseau’s</w:t>
      </w:r>
      <w:r>
        <w:t xml:space="preserve"> </w:t>
      </w:r>
      <w:r w:rsidR="00785310">
        <w:t>Laryngeal</w:t>
      </w:r>
      <w:r>
        <w:t xml:space="preserve"> Biology Laboratory, in combination with expertise</w:t>
      </w:r>
      <w:r w:rsidRPr="009A62B1">
        <w:t xml:space="preserve"> from Dr. Branski’s laboratory</w:t>
      </w:r>
      <w:r>
        <w:t xml:space="preserve">, will </w:t>
      </w:r>
      <w:r w:rsidR="009A62B1" w:rsidRPr="009A62B1">
        <w:t>a</w:t>
      </w:r>
      <w:r>
        <w:t>llow me</w:t>
      </w:r>
      <w:r w:rsidR="009A62B1" w:rsidRPr="009A62B1">
        <w:t xml:space="preserve"> </w:t>
      </w:r>
      <w:r>
        <w:t xml:space="preserve">to </w:t>
      </w:r>
      <w:r w:rsidR="009A62B1" w:rsidRPr="009A62B1">
        <w:t xml:space="preserve">integrate myself as an active member of the NYU Grossman School of Medicine scientific community to enhance my progression as an independent investigator. </w:t>
      </w:r>
    </w:p>
    <w:p w14:paraId="670E1428" w14:textId="77777777" w:rsidR="00816E5F" w:rsidRPr="00791C82" w:rsidRDefault="00816E5F" w:rsidP="009A62B1">
      <w:pPr>
        <w:ind w:firstLine="0"/>
      </w:pPr>
    </w:p>
    <w:p w14:paraId="22282F67" w14:textId="77777777" w:rsidR="00816E5F" w:rsidRPr="00791C82" w:rsidRDefault="00816E5F" w:rsidP="00816E5F"/>
    <w:p w14:paraId="2484F746" w14:textId="1627A5C2" w:rsidR="007B36D3" w:rsidRDefault="007B36D3" w:rsidP="00F871E1">
      <w:pPr>
        <w:pStyle w:val="Appendix"/>
      </w:pPr>
      <w:bookmarkStart w:id="133" w:name="_Toc88218572"/>
      <w:r>
        <w:rPr>
          <w:noProof/>
        </w:rPr>
        <w:drawing>
          <wp:anchor distT="0" distB="0" distL="114300" distR="114300" simplePos="0" relativeHeight="251657216" behindDoc="1" locked="0" layoutInCell="1" allowOverlap="1" wp14:anchorId="56258883" wp14:editId="56801AEE">
            <wp:simplePos x="0" y="0"/>
            <wp:positionH relativeFrom="margin">
              <wp:posOffset>429065</wp:posOffset>
            </wp:positionH>
            <wp:positionV relativeFrom="paragraph">
              <wp:posOffset>593725</wp:posOffset>
            </wp:positionV>
            <wp:extent cx="5314315" cy="7198995"/>
            <wp:effectExtent l="0" t="0" r="635" b="1905"/>
            <wp:wrapThrough wrapText="bothSides">
              <wp:wrapPolygon edited="0">
                <wp:start x="0" y="0"/>
                <wp:lineTo x="0" y="21549"/>
                <wp:lineTo x="21525" y="21549"/>
                <wp:lineTo x="21525" y="0"/>
                <wp:lineTo x="0" y="0"/>
              </wp:wrapPolygon>
            </wp:wrapThrough>
            <wp:docPr id="30" name="Picture 3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14315" cy="7198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1329">
        <w:t>Subjective localization rating form</w:t>
      </w:r>
      <w:bookmarkEnd w:id="133"/>
    </w:p>
    <w:p w14:paraId="623558EB" w14:textId="576086CF" w:rsidR="00F871E1" w:rsidRDefault="00F871E1" w:rsidP="00F871E1">
      <w:pPr>
        <w:pStyle w:val="Appendix"/>
      </w:pPr>
      <w:r>
        <w:t xml:space="preserve"> </w:t>
      </w:r>
      <w:bookmarkStart w:id="134" w:name="_Toc88218573"/>
      <w:r>
        <w:t>Depiction of muscle fiber CSA quantification</w:t>
      </w:r>
      <w:bookmarkEnd w:id="134"/>
    </w:p>
    <w:p w14:paraId="7E94B255" w14:textId="3E0ED5F1" w:rsidR="00F871E1" w:rsidRDefault="00F871E1" w:rsidP="00F871E1">
      <w:pPr>
        <w:pStyle w:val="ListParagraph"/>
        <w:numPr>
          <w:ilvl w:val="0"/>
          <w:numId w:val="44"/>
        </w:numPr>
      </w:pPr>
      <w:r>
        <w:t>Import ND2 H&amp;E image into ImageJ.</w:t>
      </w:r>
    </w:p>
    <w:p w14:paraId="0BC0D4CF" w14:textId="48B90F81" w:rsidR="00F871E1" w:rsidRDefault="00F871E1" w:rsidP="00F871E1">
      <w:pPr>
        <w:pStyle w:val="ListParagraph"/>
        <w:ind w:left="1080" w:firstLine="0"/>
      </w:pPr>
      <w:r w:rsidRPr="00F871E1">
        <w:rPr>
          <w:noProof/>
        </w:rPr>
        <w:drawing>
          <wp:inline distT="0" distB="0" distL="0" distR="0" wp14:anchorId="4C637D38" wp14:editId="695520BE">
            <wp:extent cx="4448013" cy="3328407"/>
            <wp:effectExtent l="0" t="0" r="0" b="5715"/>
            <wp:docPr id="4" name="Content Placeholder 3">
              <a:extLst xmlns:a="http://schemas.openxmlformats.org/drawingml/2006/main">
                <a:ext uri="{FF2B5EF4-FFF2-40B4-BE49-F238E27FC236}">
                  <a16:creationId xmlns:a16="http://schemas.microsoft.com/office/drawing/2014/main" id="{63ED208F-EA6C-453C-BE86-160727087D3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63ED208F-EA6C-453C-BE86-160727087D31}"/>
                        </a:ext>
                      </a:extLst>
                    </pic:cNvPr>
                    <pic:cNvPicPr>
                      <a:picLocks noGrp="1" noChangeAspect="1"/>
                    </pic:cNvPicPr>
                  </pic:nvPicPr>
                  <pic:blipFill>
                    <a:blip r:embed="rId48"/>
                    <a:stretch>
                      <a:fillRect/>
                    </a:stretch>
                  </pic:blipFill>
                  <pic:spPr>
                    <a:xfrm>
                      <a:off x="0" y="0"/>
                      <a:ext cx="4460658" cy="3337869"/>
                    </a:xfrm>
                    <a:prstGeom prst="rect">
                      <a:avLst/>
                    </a:prstGeom>
                  </pic:spPr>
                </pic:pic>
              </a:graphicData>
            </a:graphic>
          </wp:inline>
        </w:drawing>
      </w:r>
    </w:p>
    <w:p w14:paraId="3541C036" w14:textId="77777777" w:rsidR="00F871E1" w:rsidRDefault="00F871E1" w:rsidP="00F871E1">
      <w:pPr>
        <w:pStyle w:val="ListParagraph"/>
        <w:ind w:left="1080" w:firstLine="0"/>
      </w:pPr>
    </w:p>
    <w:p w14:paraId="26C61F5D" w14:textId="77777777" w:rsidR="00F871E1" w:rsidRDefault="00F871E1" w:rsidP="00F871E1">
      <w:pPr>
        <w:pStyle w:val="ListParagraph"/>
        <w:ind w:left="1080" w:firstLine="0"/>
      </w:pPr>
    </w:p>
    <w:p w14:paraId="3FD784F8" w14:textId="77777777" w:rsidR="00F871E1" w:rsidRDefault="00F871E1" w:rsidP="00F871E1">
      <w:pPr>
        <w:pStyle w:val="ListParagraph"/>
        <w:ind w:left="1080" w:firstLine="0"/>
      </w:pPr>
    </w:p>
    <w:p w14:paraId="20504AD2" w14:textId="77777777" w:rsidR="00F871E1" w:rsidRDefault="00F871E1" w:rsidP="00F871E1">
      <w:pPr>
        <w:pStyle w:val="ListParagraph"/>
        <w:ind w:left="1080" w:firstLine="0"/>
      </w:pPr>
    </w:p>
    <w:p w14:paraId="64918662" w14:textId="77777777" w:rsidR="00F871E1" w:rsidRDefault="00F871E1" w:rsidP="00F871E1">
      <w:pPr>
        <w:pStyle w:val="ListParagraph"/>
        <w:ind w:left="1080" w:firstLine="0"/>
      </w:pPr>
    </w:p>
    <w:p w14:paraId="6B2615E7" w14:textId="77777777" w:rsidR="00F871E1" w:rsidRDefault="00F871E1" w:rsidP="00F871E1">
      <w:pPr>
        <w:pStyle w:val="ListParagraph"/>
        <w:ind w:left="1080" w:firstLine="0"/>
      </w:pPr>
    </w:p>
    <w:p w14:paraId="715CB214" w14:textId="77777777" w:rsidR="00F871E1" w:rsidRDefault="00F871E1" w:rsidP="00F871E1">
      <w:pPr>
        <w:pStyle w:val="ListParagraph"/>
        <w:ind w:left="1080" w:firstLine="0"/>
      </w:pPr>
    </w:p>
    <w:p w14:paraId="0E33DB58" w14:textId="77777777" w:rsidR="00F871E1" w:rsidRDefault="00F871E1" w:rsidP="00F871E1">
      <w:pPr>
        <w:pStyle w:val="ListParagraph"/>
        <w:ind w:left="1080" w:firstLine="0"/>
      </w:pPr>
    </w:p>
    <w:p w14:paraId="16FE45A7" w14:textId="77777777" w:rsidR="00F871E1" w:rsidRDefault="00F871E1" w:rsidP="00F871E1">
      <w:pPr>
        <w:ind w:firstLine="0"/>
      </w:pPr>
    </w:p>
    <w:p w14:paraId="09F78328" w14:textId="14D0A049" w:rsidR="00F871E1" w:rsidRDefault="00F871E1" w:rsidP="00F871E1">
      <w:pPr>
        <w:pStyle w:val="ListParagraph"/>
        <w:numPr>
          <w:ilvl w:val="0"/>
          <w:numId w:val="44"/>
        </w:numPr>
      </w:pPr>
      <w:r>
        <w:t>Manually select region of interest consisting of TA muscle using ImageJ’s “polygon” tracing function.</w:t>
      </w:r>
    </w:p>
    <w:p w14:paraId="2D20985B" w14:textId="63464EA3" w:rsidR="00F871E1" w:rsidRDefault="00F871E1" w:rsidP="00F871E1">
      <w:pPr>
        <w:pStyle w:val="ListParagraph"/>
        <w:ind w:left="1080" w:firstLine="0"/>
      </w:pPr>
      <w:r w:rsidRPr="00F871E1">
        <w:rPr>
          <w:noProof/>
        </w:rPr>
        <w:drawing>
          <wp:inline distT="0" distB="0" distL="0" distR="0" wp14:anchorId="1EF3BA56" wp14:editId="0AABC2AF">
            <wp:extent cx="4664474" cy="3494868"/>
            <wp:effectExtent l="0" t="0" r="3175" b="0"/>
            <wp:docPr id="57" name="Picture 4">
              <a:extLst xmlns:a="http://schemas.openxmlformats.org/drawingml/2006/main">
                <a:ext uri="{FF2B5EF4-FFF2-40B4-BE49-F238E27FC236}">
                  <a16:creationId xmlns:a16="http://schemas.microsoft.com/office/drawing/2014/main" id="{6AFE2911-CAF0-4379-8FA5-20217CCEA0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AFE2911-CAF0-4379-8FA5-20217CCEA0F6}"/>
                        </a:ext>
                      </a:extLst>
                    </pic:cNvPr>
                    <pic:cNvPicPr>
                      <a:picLocks noChangeAspect="1"/>
                    </pic:cNvPicPr>
                  </pic:nvPicPr>
                  <pic:blipFill>
                    <a:blip r:embed="rId49"/>
                    <a:stretch>
                      <a:fillRect/>
                    </a:stretch>
                  </pic:blipFill>
                  <pic:spPr>
                    <a:xfrm>
                      <a:off x="0" y="0"/>
                      <a:ext cx="4670006" cy="3499013"/>
                    </a:xfrm>
                    <a:prstGeom prst="rect">
                      <a:avLst/>
                    </a:prstGeom>
                  </pic:spPr>
                </pic:pic>
              </a:graphicData>
            </a:graphic>
          </wp:inline>
        </w:drawing>
      </w:r>
    </w:p>
    <w:p w14:paraId="1B43A54C" w14:textId="23A6DDF6" w:rsidR="00F871E1" w:rsidRDefault="00F871E1" w:rsidP="00F871E1">
      <w:pPr>
        <w:ind w:left="720" w:firstLine="0"/>
      </w:pPr>
    </w:p>
    <w:p w14:paraId="539DEEBF" w14:textId="6CDD010E" w:rsidR="00F871E1" w:rsidRDefault="00F871E1" w:rsidP="00F871E1">
      <w:pPr>
        <w:ind w:left="720" w:firstLine="0"/>
      </w:pPr>
    </w:p>
    <w:p w14:paraId="757E76F6" w14:textId="0FA6A565" w:rsidR="00F871E1" w:rsidRDefault="00F871E1" w:rsidP="00F871E1">
      <w:pPr>
        <w:ind w:left="720" w:firstLine="0"/>
      </w:pPr>
    </w:p>
    <w:p w14:paraId="0723C812" w14:textId="02BF0CBF" w:rsidR="00F871E1" w:rsidRDefault="00F871E1" w:rsidP="00F871E1">
      <w:pPr>
        <w:ind w:left="720" w:firstLine="0"/>
      </w:pPr>
    </w:p>
    <w:p w14:paraId="7658A352" w14:textId="417E79E0" w:rsidR="00F871E1" w:rsidRDefault="00F871E1" w:rsidP="00F871E1">
      <w:pPr>
        <w:ind w:left="720" w:firstLine="0"/>
      </w:pPr>
    </w:p>
    <w:p w14:paraId="2C166550" w14:textId="723966DB" w:rsidR="00F871E1" w:rsidRDefault="00F871E1" w:rsidP="00F871E1">
      <w:pPr>
        <w:ind w:left="720" w:firstLine="0"/>
      </w:pPr>
    </w:p>
    <w:p w14:paraId="1F2BD3A0" w14:textId="6F626289" w:rsidR="00F871E1" w:rsidRDefault="00F871E1" w:rsidP="00F871E1">
      <w:pPr>
        <w:ind w:left="720" w:firstLine="0"/>
      </w:pPr>
    </w:p>
    <w:p w14:paraId="2C6B1190" w14:textId="228D9B74" w:rsidR="00F871E1" w:rsidRDefault="00F871E1" w:rsidP="00F871E1">
      <w:pPr>
        <w:ind w:left="720" w:firstLine="0"/>
      </w:pPr>
    </w:p>
    <w:p w14:paraId="2D917853" w14:textId="40C1D10F" w:rsidR="00F871E1" w:rsidRDefault="00F871E1" w:rsidP="00F871E1">
      <w:pPr>
        <w:ind w:left="720" w:firstLine="0"/>
      </w:pPr>
    </w:p>
    <w:p w14:paraId="667DFC2C" w14:textId="0A400804" w:rsidR="00F871E1" w:rsidRDefault="00F871E1" w:rsidP="00F871E1">
      <w:pPr>
        <w:ind w:left="720" w:firstLine="0"/>
      </w:pPr>
    </w:p>
    <w:p w14:paraId="558047BC" w14:textId="354CDFAC" w:rsidR="00F871E1" w:rsidRDefault="00F871E1" w:rsidP="00F871E1">
      <w:pPr>
        <w:ind w:left="720" w:firstLine="0"/>
      </w:pPr>
    </w:p>
    <w:p w14:paraId="23587C19" w14:textId="5896BBFF" w:rsidR="00F871E1" w:rsidRDefault="00F871E1" w:rsidP="00F871E1">
      <w:pPr>
        <w:pStyle w:val="ListParagraph"/>
        <w:numPr>
          <w:ilvl w:val="0"/>
          <w:numId w:val="44"/>
        </w:numPr>
      </w:pPr>
      <w:r>
        <w:t>Use “Default” thresholding to obtain a high contrast image.</w:t>
      </w:r>
    </w:p>
    <w:p w14:paraId="612DA44C" w14:textId="62138EC1" w:rsidR="00F871E1" w:rsidRDefault="00F871E1" w:rsidP="00F871E1">
      <w:pPr>
        <w:pStyle w:val="ListParagraph"/>
        <w:ind w:left="1080" w:firstLine="0"/>
      </w:pPr>
      <w:r w:rsidRPr="00F871E1">
        <w:rPr>
          <w:noProof/>
        </w:rPr>
        <w:drawing>
          <wp:inline distT="0" distB="0" distL="0" distR="0" wp14:anchorId="4D35254C" wp14:editId="5D1ADD61">
            <wp:extent cx="4700391" cy="3541363"/>
            <wp:effectExtent l="0" t="0" r="5080" b="2540"/>
            <wp:docPr id="59" name="Picture 5">
              <a:extLst xmlns:a="http://schemas.openxmlformats.org/drawingml/2006/main">
                <a:ext uri="{FF2B5EF4-FFF2-40B4-BE49-F238E27FC236}">
                  <a16:creationId xmlns:a16="http://schemas.microsoft.com/office/drawing/2014/main" id="{49705B0A-CFD1-4E5C-8883-278B94DD2F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49705B0A-CFD1-4E5C-8883-278B94DD2F77}"/>
                        </a:ext>
                      </a:extLst>
                    </pic:cNvPr>
                    <pic:cNvPicPr>
                      <a:picLocks noChangeAspect="1"/>
                    </pic:cNvPicPr>
                  </pic:nvPicPr>
                  <pic:blipFill>
                    <a:blip r:embed="rId50"/>
                    <a:stretch>
                      <a:fillRect/>
                    </a:stretch>
                  </pic:blipFill>
                  <pic:spPr>
                    <a:xfrm>
                      <a:off x="0" y="0"/>
                      <a:ext cx="4707416" cy="3546656"/>
                    </a:xfrm>
                    <a:prstGeom prst="rect">
                      <a:avLst/>
                    </a:prstGeom>
                  </pic:spPr>
                </pic:pic>
              </a:graphicData>
            </a:graphic>
          </wp:inline>
        </w:drawing>
      </w:r>
    </w:p>
    <w:p w14:paraId="67BE709E" w14:textId="29B703AC" w:rsidR="00F871E1" w:rsidRDefault="00F871E1" w:rsidP="00F871E1">
      <w:pPr>
        <w:ind w:left="720" w:firstLine="0"/>
      </w:pPr>
    </w:p>
    <w:p w14:paraId="6D14B5BF" w14:textId="4E8D5F8A" w:rsidR="00F871E1" w:rsidRDefault="00F871E1" w:rsidP="00F871E1">
      <w:pPr>
        <w:ind w:left="720" w:firstLine="0"/>
      </w:pPr>
    </w:p>
    <w:p w14:paraId="2097146A" w14:textId="5EF6F3D5" w:rsidR="00F871E1" w:rsidRDefault="00F871E1" w:rsidP="00F871E1">
      <w:pPr>
        <w:ind w:left="720" w:firstLine="0"/>
      </w:pPr>
    </w:p>
    <w:p w14:paraId="42F51D9A" w14:textId="507D7403" w:rsidR="00F871E1" w:rsidRDefault="00F871E1" w:rsidP="00F871E1">
      <w:pPr>
        <w:ind w:left="720" w:firstLine="0"/>
      </w:pPr>
    </w:p>
    <w:p w14:paraId="77D87379" w14:textId="45D2E7BC" w:rsidR="00F871E1" w:rsidRDefault="00F871E1" w:rsidP="00F871E1">
      <w:pPr>
        <w:ind w:left="720" w:firstLine="0"/>
      </w:pPr>
    </w:p>
    <w:p w14:paraId="4710FE06" w14:textId="71EE0724" w:rsidR="00F871E1" w:rsidRDefault="00F871E1" w:rsidP="00F871E1">
      <w:pPr>
        <w:ind w:left="720" w:firstLine="0"/>
      </w:pPr>
    </w:p>
    <w:p w14:paraId="5394DD8C" w14:textId="11042C3D" w:rsidR="00F871E1" w:rsidRDefault="00F871E1" w:rsidP="00F871E1">
      <w:pPr>
        <w:ind w:left="720" w:firstLine="0"/>
      </w:pPr>
    </w:p>
    <w:p w14:paraId="6821D49C" w14:textId="74E64434" w:rsidR="00F871E1" w:rsidRDefault="00F871E1" w:rsidP="00F871E1">
      <w:pPr>
        <w:ind w:left="720" w:firstLine="0"/>
      </w:pPr>
    </w:p>
    <w:p w14:paraId="5E301A82" w14:textId="6AABAEEC" w:rsidR="00F871E1" w:rsidRDefault="00F871E1" w:rsidP="00F871E1">
      <w:pPr>
        <w:ind w:firstLine="0"/>
      </w:pPr>
    </w:p>
    <w:p w14:paraId="57628806" w14:textId="7A09246B" w:rsidR="00F871E1" w:rsidRDefault="00F871E1" w:rsidP="00F871E1">
      <w:pPr>
        <w:ind w:firstLine="0"/>
      </w:pPr>
    </w:p>
    <w:p w14:paraId="4BC71FB2" w14:textId="3117CF33" w:rsidR="00F871E1" w:rsidRDefault="00F871E1" w:rsidP="00F871E1">
      <w:pPr>
        <w:ind w:firstLine="0"/>
      </w:pPr>
    </w:p>
    <w:p w14:paraId="7974A1B4" w14:textId="77777777" w:rsidR="00F871E1" w:rsidRDefault="00F871E1" w:rsidP="00F871E1">
      <w:pPr>
        <w:ind w:firstLine="0"/>
      </w:pPr>
    </w:p>
    <w:p w14:paraId="5C678773" w14:textId="7F26D3AB" w:rsidR="00F871E1" w:rsidRDefault="00F871E1" w:rsidP="00F871E1">
      <w:pPr>
        <w:pStyle w:val="ListParagraph"/>
        <w:numPr>
          <w:ilvl w:val="0"/>
          <w:numId w:val="44"/>
        </w:numPr>
      </w:pPr>
      <w:r>
        <w:t>Use the “Analyze Particle” function to obtain pixel measures of muscle fibers.</w:t>
      </w:r>
    </w:p>
    <w:p w14:paraId="20B310B9" w14:textId="01D60899" w:rsidR="00F871E1" w:rsidRDefault="00F871E1" w:rsidP="00F871E1">
      <w:r w:rsidRPr="00F871E1">
        <w:rPr>
          <w:noProof/>
        </w:rPr>
        <w:drawing>
          <wp:inline distT="0" distB="0" distL="0" distR="0" wp14:anchorId="0470A44A" wp14:editId="19228F65">
            <wp:extent cx="4899980" cy="3688596"/>
            <wp:effectExtent l="0" t="0" r="0" b="7620"/>
            <wp:docPr id="7" name="Picture 6">
              <a:extLst xmlns:a="http://schemas.openxmlformats.org/drawingml/2006/main">
                <a:ext uri="{FF2B5EF4-FFF2-40B4-BE49-F238E27FC236}">
                  <a16:creationId xmlns:a16="http://schemas.microsoft.com/office/drawing/2014/main" id="{449B1839-3557-4DB6-A94D-8D464C8505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449B1839-3557-4DB6-A94D-8D464C8505F6}"/>
                        </a:ext>
                      </a:extLst>
                    </pic:cNvPr>
                    <pic:cNvPicPr>
                      <a:picLocks noChangeAspect="1"/>
                    </pic:cNvPicPr>
                  </pic:nvPicPr>
                  <pic:blipFill>
                    <a:blip r:embed="rId51"/>
                    <a:stretch>
                      <a:fillRect/>
                    </a:stretch>
                  </pic:blipFill>
                  <pic:spPr>
                    <a:xfrm>
                      <a:off x="0" y="0"/>
                      <a:ext cx="4905895" cy="3693049"/>
                    </a:xfrm>
                    <a:prstGeom prst="rect">
                      <a:avLst/>
                    </a:prstGeom>
                  </pic:spPr>
                </pic:pic>
              </a:graphicData>
            </a:graphic>
          </wp:inline>
        </w:drawing>
      </w:r>
    </w:p>
    <w:p w14:paraId="0B147475" w14:textId="127E6DB1" w:rsidR="00F871E1" w:rsidRDefault="00F871E1" w:rsidP="00F871E1"/>
    <w:p w14:paraId="1742DE05" w14:textId="7B4C1A90" w:rsidR="00F871E1" w:rsidRDefault="00F871E1" w:rsidP="00F871E1"/>
    <w:p w14:paraId="31A401B8" w14:textId="7BE2CFF9" w:rsidR="00F871E1" w:rsidRDefault="00F871E1" w:rsidP="00F871E1"/>
    <w:p w14:paraId="47518562" w14:textId="1D76D93F" w:rsidR="00F871E1" w:rsidRDefault="00F871E1" w:rsidP="00F871E1"/>
    <w:p w14:paraId="7378F4CA" w14:textId="0253DE5A" w:rsidR="00F871E1" w:rsidRDefault="00F871E1" w:rsidP="00F871E1"/>
    <w:p w14:paraId="6685C4A3" w14:textId="34D585EC" w:rsidR="00F871E1" w:rsidRDefault="00F871E1" w:rsidP="00F871E1"/>
    <w:p w14:paraId="7E7F7E01" w14:textId="7C11F34E" w:rsidR="00F871E1" w:rsidRDefault="00F871E1" w:rsidP="00F871E1"/>
    <w:p w14:paraId="57AFFCC8" w14:textId="158171D4" w:rsidR="00F871E1" w:rsidRDefault="00F871E1" w:rsidP="00F871E1"/>
    <w:p w14:paraId="21F89E72" w14:textId="59E33961" w:rsidR="00F871E1" w:rsidRDefault="00F871E1" w:rsidP="00F871E1"/>
    <w:p w14:paraId="7D1D2064" w14:textId="61709A95" w:rsidR="00F871E1" w:rsidRDefault="00F871E1" w:rsidP="00F871E1"/>
    <w:p w14:paraId="3448CEE0" w14:textId="68354256" w:rsidR="00F871E1" w:rsidRDefault="00F871E1" w:rsidP="00F871E1">
      <w:pPr>
        <w:ind w:firstLine="0"/>
      </w:pPr>
    </w:p>
    <w:p w14:paraId="71D494E9" w14:textId="02AC4A58" w:rsidR="00F871E1" w:rsidRDefault="00F871E1" w:rsidP="00F871E1">
      <w:pPr>
        <w:pStyle w:val="ListParagraph"/>
        <w:numPr>
          <w:ilvl w:val="0"/>
          <w:numId w:val="44"/>
        </w:numPr>
      </w:pPr>
      <w:r>
        <w:t xml:space="preserve">Using the </w:t>
      </w:r>
      <w:r w:rsidR="000765B1">
        <w:t>mulit-</w:t>
      </w:r>
      <w:r>
        <w:t>selection tool, obtain a manual count of each muscle fiber.</w:t>
      </w:r>
    </w:p>
    <w:p w14:paraId="5E3ECAB6" w14:textId="10188CFE" w:rsidR="00F871E1" w:rsidRDefault="00F871E1" w:rsidP="00F871E1">
      <w:pPr>
        <w:pStyle w:val="ListParagraph"/>
        <w:ind w:left="1080" w:firstLine="0"/>
      </w:pPr>
      <w:r w:rsidRPr="00F871E1">
        <w:rPr>
          <w:noProof/>
        </w:rPr>
        <w:drawing>
          <wp:inline distT="0" distB="0" distL="0" distR="0" wp14:anchorId="0805F24B" wp14:editId="50A5A81D">
            <wp:extent cx="4711484" cy="3542674"/>
            <wp:effectExtent l="0" t="0" r="0" b="635"/>
            <wp:docPr id="8" name="Picture 7">
              <a:extLst xmlns:a="http://schemas.openxmlformats.org/drawingml/2006/main">
                <a:ext uri="{FF2B5EF4-FFF2-40B4-BE49-F238E27FC236}">
                  <a16:creationId xmlns:a16="http://schemas.microsoft.com/office/drawing/2014/main" id="{DD296CB3-4D9E-4677-82F8-BED02615E2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DD296CB3-4D9E-4677-82F8-BED02615E2C5}"/>
                        </a:ext>
                      </a:extLst>
                    </pic:cNvPr>
                    <pic:cNvPicPr>
                      <a:picLocks noChangeAspect="1"/>
                    </pic:cNvPicPr>
                  </pic:nvPicPr>
                  <pic:blipFill>
                    <a:blip r:embed="rId52"/>
                    <a:stretch>
                      <a:fillRect/>
                    </a:stretch>
                  </pic:blipFill>
                  <pic:spPr>
                    <a:xfrm>
                      <a:off x="0" y="0"/>
                      <a:ext cx="4713478" cy="3544173"/>
                    </a:xfrm>
                    <a:prstGeom prst="rect">
                      <a:avLst/>
                    </a:prstGeom>
                  </pic:spPr>
                </pic:pic>
              </a:graphicData>
            </a:graphic>
          </wp:inline>
        </w:drawing>
      </w:r>
    </w:p>
    <w:p w14:paraId="18E59F61" w14:textId="2C9A786E" w:rsidR="00F871E1" w:rsidRDefault="00F871E1" w:rsidP="00F871E1">
      <w:pPr>
        <w:pStyle w:val="ListParagraph"/>
        <w:numPr>
          <w:ilvl w:val="0"/>
          <w:numId w:val="44"/>
        </w:numPr>
      </w:pPr>
      <w:r>
        <w:t>Use the following formula to obtain the average individual muscle fiber CSA:</w:t>
      </w:r>
    </w:p>
    <w:p w14:paraId="3D0ADC31" w14:textId="1695C0F2" w:rsidR="00F871E1" w:rsidRPr="00F871E1" w:rsidRDefault="00F871E1" w:rsidP="000765B1">
      <w:pPr>
        <w:ind w:firstLine="0"/>
      </w:pPr>
      <w:r w:rsidRPr="00F871E1">
        <w:rPr>
          <w:noProof/>
        </w:rPr>
        <mc:AlternateContent>
          <mc:Choice Requires="wps">
            <w:drawing>
              <wp:anchor distT="0" distB="0" distL="114300" distR="114300" simplePos="0" relativeHeight="251661312" behindDoc="0" locked="0" layoutInCell="1" allowOverlap="1" wp14:anchorId="7C9539C1" wp14:editId="7EFAF707">
                <wp:simplePos x="0" y="0"/>
                <wp:positionH relativeFrom="margin">
                  <wp:align>center</wp:align>
                </wp:positionH>
                <wp:positionV relativeFrom="paragraph">
                  <wp:posOffset>37465</wp:posOffset>
                </wp:positionV>
                <wp:extent cx="5753498" cy="545855"/>
                <wp:effectExtent l="0" t="0" r="0" b="0"/>
                <wp:wrapNone/>
                <wp:docPr id="11" name="Rectangle 10">
                  <a:extLst xmlns:a="http://schemas.openxmlformats.org/drawingml/2006/main">
                    <a:ext uri="{FF2B5EF4-FFF2-40B4-BE49-F238E27FC236}">
                      <a16:creationId xmlns:a16="http://schemas.microsoft.com/office/drawing/2014/main" id="{4EF0C113-8C4C-4434-8B76-596CC0ED154A}"/>
                    </a:ext>
                  </a:extLst>
                </wp:docPr>
                <wp:cNvGraphicFramePr/>
                <a:graphic xmlns:a="http://schemas.openxmlformats.org/drawingml/2006/main">
                  <a:graphicData uri="http://schemas.microsoft.com/office/word/2010/wordprocessingShape">
                    <wps:wsp>
                      <wps:cNvSpPr/>
                      <wps:spPr>
                        <a:xfrm>
                          <a:off x="0" y="0"/>
                          <a:ext cx="5753498" cy="545855"/>
                        </a:xfrm>
                        <a:prstGeom prst="rect">
                          <a:avLst/>
                        </a:prstGeom>
                      </wps:spPr>
                      <wps:txbx>
                        <w:txbxContent>
                          <w:p w14:paraId="39DC1564" w14:textId="30BCDB91" w:rsidR="00F871E1" w:rsidRDefault="003729D1" w:rsidP="00F871E1">
                            <w:pPr>
                              <w:spacing w:line="256" w:lineRule="auto"/>
                              <w:ind w:firstLine="0"/>
                              <w:rPr>
                                <w:rFonts w:ascii="Cambria Math" w:eastAsia="Calibri"/>
                                <w:i/>
                                <w:iCs/>
                                <w:color w:val="FF0000"/>
                                <w:kern w:val="24"/>
                                <w:sz w:val="36"/>
                                <w:szCs w:val="36"/>
                              </w:rPr>
                            </w:pPr>
                            <m:oMath>
                              <m:f>
                                <m:fPr>
                                  <m:ctrlPr>
                                    <w:rPr>
                                      <w:rFonts w:ascii="Cambria Math" w:eastAsia="Calibri" w:hAnsi="Cambria Math"/>
                                      <w:i/>
                                      <w:iCs/>
                                      <w:color w:val="000000" w:themeColor="text1"/>
                                      <w:kern w:val="24"/>
                                      <w:sz w:val="36"/>
                                      <w:szCs w:val="36"/>
                                    </w:rPr>
                                  </m:ctrlPr>
                                </m:fPr>
                                <m:num>
                                  <m:r>
                                    <w:rPr>
                                      <w:rFonts w:ascii="Cambria Math" w:eastAsia="Calibri" w:hAnsi="Cambria Math"/>
                                      <w:color w:val="000000" w:themeColor="text1"/>
                                      <w:kern w:val="24"/>
                                      <w:sz w:val="36"/>
                                      <w:szCs w:val="36"/>
                                    </w:rPr>
                                    <m:t>Total muscel fiber area</m:t>
                                  </m:r>
                                </m:num>
                                <m:den>
                                  <m:r>
                                    <w:rPr>
                                      <w:rFonts w:ascii="Cambria Math" w:eastAsia="Calibri" w:hAnsi="Cambria Math"/>
                                      <w:color w:val="000000" w:themeColor="text1"/>
                                      <w:kern w:val="24"/>
                                      <w:sz w:val="36"/>
                                      <w:szCs w:val="36"/>
                                    </w:rPr>
                                    <m:t>Muscle fiber count</m:t>
                                  </m:r>
                                </m:den>
                              </m:f>
                              <m:r>
                                <m:rPr>
                                  <m:nor/>
                                </m:rPr>
                                <w:rPr>
                                  <w:rFonts w:eastAsia="Calibri"/>
                                  <w:i/>
                                  <w:iCs/>
                                  <w:color w:val="000000" w:themeColor="text1"/>
                                  <w:kern w:val="24"/>
                                  <w:sz w:val="36"/>
                                  <w:szCs w:val="36"/>
                                </w:rPr>
                                <m:t>= </m:t>
                              </m:r>
                              <m:acc>
                                <m:accPr>
                                  <m:chr m:val="̅"/>
                                  <m:ctrlPr>
                                    <w:rPr>
                                      <w:rFonts w:ascii="Cambria Math" w:eastAsia="Calibri" w:hAnsi="Cambria Math"/>
                                      <w:i/>
                                      <w:iCs/>
                                      <w:color w:val="000000" w:themeColor="text1"/>
                                      <w:kern w:val="24"/>
                                      <w:sz w:val="36"/>
                                      <w:szCs w:val="36"/>
                                    </w:rPr>
                                  </m:ctrlPr>
                                </m:accPr>
                                <m:e>
                                  <m:r>
                                    <w:rPr>
                                      <w:rFonts w:ascii="Cambria Math" w:eastAsia="Calibri" w:hAnsi="Cambria Math"/>
                                      <w:color w:val="000000" w:themeColor="text1"/>
                                      <w:kern w:val="24"/>
                                      <w:sz w:val="36"/>
                                      <w:szCs w:val="36"/>
                                    </w:rPr>
                                    <m:t>x</m:t>
                                  </m:r>
                                </m:e>
                              </m:acc>
                              <m:r>
                                <w:rPr>
                                  <w:rFonts w:ascii="Cambria Math" w:eastAsia="Calibri" w:hAnsi="Cambria Math"/>
                                  <w:color w:val="000000" w:themeColor="text1"/>
                                  <w:kern w:val="24"/>
                                  <w:sz w:val="36"/>
                                  <w:szCs w:val="36"/>
                                </w:rPr>
                                <m:t> Individual muscle fiber CSA</m:t>
                              </m:r>
                            </m:oMath>
                            <w:r w:rsidR="00F871E1">
                              <w:rPr>
                                <w:i/>
                                <w:iCs/>
                                <w:color w:val="000000" w:themeColor="text1"/>
                                <w:kern w:val="24"/>
                                <w:sz w:val="36"/>
                                <w:szCs w:val="36"/>
                              </w:rPr>
                              <w:t>.</w:t>
                            </w:r>
                            <w:r w:rsidR="00F871E1">
                              <w:rPr>
                                <w:rFonts w:eastAsia="Calibri"/>
                                <w:i/>
                                <w:iCs/>
                                <w:color w:val="000000" w:themeColor="text1"/>
                                <w:kern w:val="24"/>
                                <w:sz w:val="56"/>
                                <w:szCs w:val="56"/>
                              </w:rPr>
                              <w:t xml:space="preserve"> </w:t>
                            </w:r>
                          </w:p>
                        </w:txbxContent>
                      </wps:txbx>
                      <wps:bodyPr wrap="none">
                        <a:spAutoFit/>
                      </wps:bodyPr>
                    </wps:wsp>
                  </a:graphicData>
                </a:graphic>
              </wp:anchor>
            </w:drawing>
          </mc:Choice>
          <mc:Fallback>
            <w:pict>
              <v:rect w14:anchorId="7C9539C1" id="Rectangle 10" o:spid="_x0000_s1026" style="position:absolute;left:0;text-align:left;margin-left:0;margin-top:2.95pt;width:453.05pt;height:43pt;z-index:2516613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" filled="f" stroked="f">
                <v:textbox style="mso-fit-shape-to-text:t">
                  <w:txbxContent>
                    <w:p w14:paraId="39DC1564" w14:textId="30BCDB91" w:rsidR="00F871E1" w:rsidRDefault="00634E5C" w:rsidP="00F871E1">
                      <w:pPr>
                        <w:spacing w:line="256" w:lineRule="auto"/>
                        <w:ind w:firstLine="0"/>
                        <w:rPr>
                          <w:rFonts w:ascii="Cambria Math" w:eastAsia="Calibri"/>
                          <w:i/>
                          <w:iCs/>
                          <w:color w:val="FF0000"/>
                          <w:kern w:val="24"/>
                          <w:sz w:val="36"/>
                          <w:szCs w:val="36"/>
                        </w:rPr>
                      </w:pPr>
                      <m:oMath>
                        <m:f>
                          <m:fPr>
                            <m:ctrlPr>
                              <w:rPr>
                                <w:rFonts w:ascii="Cambria Math" w:eastAsia="Calibri" w:hAnsi="Cambria Math"/>
                                <w:i/>
                                <w:iCs/>
                                <w:color w:val="000000" w:themeColor="text1"/>
                                <w:kern w:val="24"/>
                                <w:sz w:val="36"/>
                                <w:szCs w:val="36"/>
                              </w:rPr>
                            </m:ctrlPr>
                          </m:fPr>
                          <m:num>
                            <m:r>
                              <w:rPr>
                                <w:rFonts w:ascii="Cambria Math" w:eastAsia="Calibri" w:hAnsi="Cambria Math"/>
                                <w:color w:val="000000" w:themeColor="text1"/>
                                <w:kern w:val="24"/>
                                <w:sz w:val="36"/>
                                <w:szCs w:val="36"/>
                              </w:rPr>
                              <m:t>Total muscel fiber area</m:t>
                            </m:r>
                          </m:num>
                          <m:den>
                            <m:r>
                              <w:rPr>
                                <w:rFonts w:ascii="Cambria Math" w:eastAsia="Calibri" w:hAnsi="Cambria Math"/>
                                <w:color w:val="000000" w:themeColor="text1"/>
                                <w:kern w:val="24"/>
                                <w:sz w:val="36"/>
                                <w:szCs w:val="36"/>
                              </w:rPr>
                              <m:t>Muscle fiber count</m:t>
                            </m:r>
                          </m:den>
                        </m:f>
                        <m:r>
                          <m:rPr>
                            <m:nor/>
                          </m:rPr>
                          <w:rPr>
                            <w:rFonts w:eastAsia="Calibri"/>
                            <w:i/>
                            <w:iCs/>
                            <w:color w:val="000000" w:themeColor="text1"/>
                            <w:kern w:val="24"/>
                            <w:sz w:val="36"/>
                            <w:szCs w:val="36"/>
                          </w:rPr>
                          <m:t>= </m:t>
                        </m:r>
                        <m:acc>
                          <m:accPr>
                            <m:chr m:val="̅"/>
                            <m:ctrlPr>
                              <w:rPr>
                                <w:rFonts w:ascii="Cambria Math" w:eastAsia="Calibri" w:hAnsi="Cambria Math"/>
                                <w:i/>
                                <w:iCs/>
                                <w:color w:val="000000" w:themeColor="text1"/>
                                <w:kern w:val="24"/>
                                <w:sz w:val="36"/>
                                <w:szCs w:val="36"/>
                              </w:rPr>
                            </m:ctrlPr>
                          </m:accPr>
                          <m:e>
                            <m:r>
                              <w:rPr>
                                <w:rFonts w:ascii="Cambria Math" w:eastAsia="Calibri" w:hAnsi="Cambria Math"/>
                                <w:color w:val="000000" w:themeColor="text1"/>
                                <w:kern w:val="24"/>
                                <w:sz w:val="36"/>
                                <w:szCs w:val="36"/>
                              </w:rPr>
                              <m:t>x</m:t>
                            </m:r>
                          </m:e>
                        </m:acc>
                        <m:r>
                          <w:rPr>
                            <w:rFonts w:ascii="Cambria Math" w:eastAsia="Calibri" w:hAnsi="Cambria Math"/>
                            <w:color w:val="000000" w:themeColor="text1"/>
                            <w:kern w:val="24"/>
                            <w:sz w:val="36"/>
                            <w:szCs w:val="36"/>
                          </w:rPr>
                          <m:t> Individual muscle fiber CSA</m:t>
                        </m:r>
                      </m:oMath>
                      <w:r w:rsidR="00F871E1">
                        <w:rPr>
                          <w:i/>
                          <w:iCs/>
                          <w:color w:val="000000" w:themeColor="text1"/>
                          <w:kern w:val="24"/>
                          <w:sz w:val="36"/>
                          <w:szCs w:val="36"/>
                        </w:rPr>
                        <w:t>.</w:t>
                      </w:r>
                      <w:r w:rsidR="00F871E1">
                        <w:rPr>
                          <w:rFonts w:eastAsia="Calibri"/>
                          <w:i/>
                          <w:iCs/>
                          <w:color w:val="000000" w:themeColor="text1"/>
                          <w:kern w:val="24"/>
                          <w:sz w:val="56"/>
                          <w:szCs w:val="56"/>
                        </w:rPr>
                        <w:t xml:space="preserve"> </w:t>
                      </w:r>
                    </w:p>
                  </w:txbxContent>
                </v:textbox>
                <w10:wrap anchorx="margin"/>
              </v:rect>
            </w:pict>
          </mc:Fallback>
        </mc:AlternateContent>
      </w:r>
    </w:p>
    <w:p w14:paraId="2BCF18F7" w14:textId="77777777" w:rsidR="00DA5BA8" w:rsidRDefault="00A23857" w:rsidP="00DA5BA8">
      <w:pPr>
        <w:pStyle w:val="Heading"/>
      </w:pPr>
      <w:bookmarkStart w:id="135" w:name="_Toc8115852"/>
      <w:bookmarkStart w:id="136" w:name="_Toc88218574"/>
      <w:bookmarkEnd w:id="21"/>
      <w:bookmarkEnd w:id="22"/>
      <w:r>
        <w:t>B</w:t>
      </w:r>
      <w:r w:rsidR="00DA5BA8">
        <w:t>ibliography</w:t>
      </w:r>
      <w:bookmarkEnd w:id="135"/>
      <w:bookmarkEnd w:id="136"/>
    </w:p>
    <w:p w14:paraId="72DC2939" w14:textId="77777777" w:rsidR="007C5A51" w:rsidRDefault="00BE56FE" w:rsidP="007C5A51">
      <w:pPr>
        <w:pStyle w:val="Bibliography"/>
      </w:pPr>
      <w:r>
        <w:fldChar w:fldCharType="begin"/>
      </w:r>
      <w:r w:rsidR="007C5A51">
        <w:instrText xml:space="preserve"> ADDIN ZOTERO_BIBL {"uncited":[],"omitted":[],"custom":[]} CSL_BIBLIOGRAPHY </w:instrText>
      </w:r>
      <w:r>
        <w:fldChar w:fldCharType="separate"/>
      </w:r>
      <w:r w:rsidR="007C5A51">
        <w:t xml:space="preserve">1. </w:t>
      </w:r>
      <w:r w:rsidR="007C5A51">
        <w:tab/>
        <w:t xml:space="preserve">Roy N, Merrill RM, Gray SD, Smith EM. Voice disorders in the general population: Prevalence, risk factors, and occupational impact. </w:t>
      </w:r>
      <w:r w:rsidR="007C5A51">
        <w:rPr>
          <w:i/>
          <w:iCs/>
        </w:rPr>
        <w:t>Laryngoscope</w:t>
      </w:r>
      <w:r w:rsidR="007C5A51">
        <w:t>. 2005;115(11):1988-1995. doi:10.1097/01.mlg.0000179174.32345.41</w:t>
      </w:r>
    </w:p>
    <w:p w14:paraId="03265C48" w14:textId="77777777" w:rsidR="007C5A51" w:rsidRDefault="007C5A51" w:rsidP="007C5A51">
      <w:pPr>
        <w:pStyle w:val="Bibliography"/>
      </w:pPr>
      <w:r>
        <w:t xml:space="preserve">2. </w:t>
      </w:r>
      <w:r>
        <w:tab/>
        <w:t xml:space="preserve">Cohen SM, Kim J, Roy N, Asche C, Courey M. Direct health care costs of laryngeal diseases and disorders. </w:t>
      </w:r>
      <w:r>
        <w:rPr>
          <w:i/>
          <w:iCs/>
        </w:rPr>
        <w:t>Laryngoscope</w:t>
      </w:r>
      <w:r>
        <w:t>. 2012;122(7):1582-1588. doi:10.1002/lary.23189</w:t>
      </w:r>
    </w:p>
    <w:p w14:paraId="71AEF146" w14:textId="77777777" w:rsidR="007C5A51" w:rsidRDefault="007C5A51" w:rsidP="007C5A51">
      <w:pPr>
        <w:pStyle w:val="Bibliography"/>
      </w:pPr>
      <w:r>
        <w:t xml:space="preserve">3. </w:t>
      </w:r>
      <w:r>
        <w:tab/>
        <w:t xml:space="preserve">Verdolini K, Ramig LO. Review: occupational risks for voice problems. </w:t>
      </w:r>
      <w:r>
        <w:rPr>
          <w:i/>
          <w:iCs/>
        </w:rPr>
        <w:t>Logopedics Phoniatrics Vocology</w:t>
      </w:r>
      <w:r>
        <w:t>. 2001;26(1):37-46. doi:10.1080/14015430119969</w:t>
      </w:r>
    </w:p>
    <w:p w14:paraId="5F6AF055" w14:textId="77777777" w:rsidR="007C5A51" w:rsidRDefault="007C5A51" w:rsidP="007C5A51">
      <w:pPr>
        <w:pStyle w:val="Bibliography"/>
      </w:pPr>
      <w:r>
        <w:t xml:space="preserve">4. </w:t>
      </w:r>
      <w:r>
        <w:tab/>
        <w:t xml:space="preserve">Cohen SM, Dupont WD, Courey MS. Quality-of-life impact of non-neoplastic voice disorders: a meta-analysis. </w:t>
      </w:r>
      <w:r>
        <w:rPr>
          <w:i/>
          <w:iCs/>
        </w:rPr>
        <w:t>Ann Otol Rhinol Laryngol</w:t>
      </w:r>
      <w:r>
        <w:t>. 2006;115(2):128-134. doi:10.1177/000348940611500209</w:t>
      </w:r>
    </w:p>
    <w:p w14:paraId="2492DEFF" w14:textId="77777777" w:rsidR="007C5A51" w:rsidRDefault="007C5A51" w:rsidP="007C5A51">
      <w:pPr>
        <w:pStyle w:val="Bibliography"/>
      </w:pPr>
      <w:r>
        <w:t xml:space="preserve">5. </w:t>
      </w:r>
      <w:r>
        <w:tab/>
        <w:t xml:space="preserve">Aronson A, Bless D. Clinical voice disorders. New York. </w:t>
      </w:r>
      <w:r>
        <w:rPr>
          <w:i/>
          <w:iCs/>
        </w:rPr>
        <w:t>NY: Thieme</w:t>
      </w:r>
      <w:r>
        <w:t>. Published online 2009.</w:t>
      </w:r>
    </w:p>
    <w:p w14:paraId="3181A89D" w14:textId="77777777" w:rsidR="007C5A51" w:rsidRDefault="007C5A51" w:rsidP="007C5A51">
      <w:pPr>
        <w:pStyle w:val="Bibliography"/>
      </w:pPr>
      <w:r>
        <w:t xml:space="preserve">6. </w:t>
      </w:r>
      <w:r>
        <w:tab/>
        <w:t xml:space="preserve">Boone DR, Plante E. </w:t>
      </w:r>
      <w:r>
        <w:rPr>
          <w:i/>
          <w:iCs/>
        </w:rPr>
        <w:t>Human Communication and Its Disorders</w:t>
      </w:r>
      <w:r>
        <w:t>. Prentice Hall; 1993.</w:t>
      </w:r>
    </w:p>
    <w:p w14:paraId="562E6FEB" w14:textId="77777777" w:rsidR="007C5A51" w:rsidRDefault="007C5A51" w:rsidP="007C5A51">
      <w:pPr>
        <w:pStyle w:val="Bibliography"/>
      </w:pPr>
      <w:r>
        <w:t xml:space="preserve">7. </w:t>
      </w:r>
      <w:r>
        <w:tab/>
        <w:t xml:space="preserve">Roy N, Merrill R, Thibeault S, Parsa R, Gray S, Smith E. Voice disorders in teachers and the general population. </w:t>
      </w:r>
      <w:r>
        <w:rPr>
          <w:i/>
          <w:iCs/>
        </w:rPr>
        <w:t>Journal of speech, language, and hearing research : JSLHR</w:t>
      </w:r>
      <w:r>
        <w:t>. 2004;47:281-293. doi:10.1044/1092-4388(2004/023)</w:t>
      </w:r>
    </w:p>
    <w:p w14:paraId="4E885EE4" w14:textId="77777777" w:rsidR="007C5A51" w:rsidRDefault="007C5A51" w:rsidP="007C5A51">
      <w:pPr>
        <w:pStyle w:val="Bibliography"/>
      </w:pPr>
      <w:r>
        <w:t xml:space="preserve">8. </w:t>
      </w:r>
      <w:r>
        <w:tab/>
        <w:t xml:space="preserve">Coyle SM, Weinrich BD, Stemple JC. Shifts in relative prevalence of laryngeal pathology in a treatment-seeking population. </w:t>
      </w:r>
      <w:r>
        <w:rPr>
          <w:i/>
          <w:iCs/>
        </w:rPr>
        <w:t>Journal of Voice</w:t>
      </w:r>
      <w:r>
        <w:t>. 2001;15(3):424-440.</w:t>
      </w:r>
    </w:p>
    <w:p w14:paraId="60AD2678" w14:textId="77777777" w:rsidR="007C5A51" w:rsidRDefault="007C5A51" w:rsidP="007C5A51">
      <w:pPr>
        <w:pStyle w:val="Bibliography"/>
      </w:pPr>
      <w:r>
        <w:t xml:space="preserve">9. </w:t>
      </w:r>
      <w:r>
        <w:tab/>
        <w:t xml:space="preserve">Martins RHG, do Amaral HA, Tavares ELM, Martins MG, Gonçalves TM, Dias NH. Voice disorders: etiology and diagnosis. </w:t>
      </w:r>
      <w:r>
        <w:rPr>
          <w:i/>
          <w:iCs/>
        </w:rPr>
        <w:t>Journal of voice</w:t>
      </w:r>
      <w:r>
        <w:t>. 2016;30(6):761-e1.</w:t>
      </w:r>
    </w:p>
    <w:p w14:paraId="6DA9BB08" w14:textId="77777777" w:rsidR="007C5A51" w:rsidRDefault="007C5A51" w:rsidP="007C5A51">
      <w:pPr>
        <w:pStyle w:val="Bibliography"/>
      </w:pPr>
      <w:r>
        <w:t xml:space="preserve">10. </w:t>
      </w:r>
      <w:r>
        <w:tab/>
        <w:t xml:space="preserve">Cohen SM, Kim J, Roy N, Asche C, Courey M. Prevalence and causes of dysphonia in a large treatment-seeking population. </w:t>
      </w:r>
      <w:r>
        <w:rPr>
          <w:i/>
          <w:iCs/>
        </w:rPr>
        <w:t>The Laryngoscope</w:t>
      </w:r>
      <w:r>
        <w:t>. 2012;122(2):343-348. doi:10.1002/lary.22426</w:t>
      </w:r>
    </w:p>
    <w:p w14:paraId="23792243" w14:textId="77777777" w:rsidR="007C5A51" w:rsidRDefault="007C5A51" w:rsidP="007C5A51">
      <w:pPr>
        <w:pStyle w:val="Bibliography"/>
      </w:pPr>
      <w:r>
        <w:t xml:space="preserve">11. </w:t>
      </w:r>
      <w:r>
        <w:tab/>
        <w:t xml:space="preserve">Martins RHG, Branco A, Tavares ELM, Gramuglia ACJ. Clinical Practice: Vocal nodules in dysphonic children. </w:t>
      </w:r>
      <w:r>
        <w:rPr>
          <w:i/>
          <w:iCs/>
        </w:rPr>
        <w:t>Eur J Pediatr</w:t>
      </w:r>
      <w:r>
        <w:t>. 2013;172(9):1161-1165. doi:10.1007/s00431-013-2048-x</w:t>
      </w:r>
    </w:p>
    <w:p w14:paraId="79241DA8" w14:textId="77777777" w:rsidR="007C5A51" w:rsidRDefault="007C5A51" w:rsidP="007C5A51">
      <w:pPr>
        <w:pStyle w:val="Bibliography"/>
      </w:pPr>
      <w:r>
        <w:t xml:space="preserve">12. </w:t>
      </w:r>
      <w:r>
        <w:tab/>
        <w:t xml:space="preserve">Houtte EV, Lierde KV, D’Haeseleer E, Claeys S. The prevalence of laryngeal pathology in a treatment-seeking population with dysphonia. </w:t>
      </w:r>
      <w:r>
        <w:rPr>
          <w:i/>
          <w:iCs/>
        </w:rPr>
        <w:t>The Laryngoscope</w:t>
      </w:r>
      <w:r>
        <w:t>. 2010;120(2):306-312. doi:10.1002/lary.20696</w:t>
      </w:r>
    </w:p>
    <w:p w14:paraId="7992B482" w14:textId="77777777" w:rsidR="007C5A51" w:rsidRDefault="007C5A51" w:rsidP="007C5A51">
      <w:pPr>
        <w:pStyle w:val="Bibliography"/>
      </w:pPr>
      <w:r>
        <w:t xml:space="preserve">13. </w:t>
      </w:r>
      <w:r>
        <w:tab/>
        <w:t xml:space="preserve">Nunes RB, Behlau M, Nunes MB, Paulino JG. Clinical diagnosis and histological analysis of vocal nodules and polyps. </w:t>
      </w:r>
      <w:r>
        <w:rPr>
          <w:i/>
          <w:iCs/>
        </w:rPr>
        <w:t>Brazilian Journal of Otorhinolaryngology</w:t>
      </w:r>
      <w:r>
        <w:t>. 2013;79(4):434-440. doi:10.5935/1808-8694.20130078</w:t>
      </w:r>
    </w:p>
    <w:p w14:paraId="0C23D072" w14:textId="77777777" w:rsidR="007C5A51" w:rsidRDefault="007C5A51" w:rsidP="007C5A51">
      <w:pPr>
        <w:pStyle w:val="Bibliography"/>
      </w:pPr>
      <w:r>
        <w:t xml:space="preserve">14. </w:t>
      </w:r>
      <w:r>
        <w:tab/>
        <w:t xml:space="preserve">Nardone HC, Recko T, Huang L, Nuss RC. A retrospective review of the progression of pediatric vocal fold nodules. </w:t>
      </w:r>
      <w:r>
        <w:rPr>
          <w:i/>
          <w:iCs/>
        </w:rPr>
        <w:t>JAMA Otolaryngol Head Neck Surg</w:t>
      </w:r>
      <w:r>
        <w:t>. 2014;140(3):233. doi:10.1001/jamaoto.2013.6378</w:t>
      </w:r>
    </w:p>
    <w:p w14:paraId="55006A92" w14:textId="77777777" w:rsidR="007C5A51" w:rsidRDefault="007C5A51" w:rsidP="007C5A51">
      <w:pPr>
        <w:pStyle w:val="Bibliography"/>
      </w:pPr>
      <w:r>
        <w:t xml:space="preserve">15. </w:t>
      </w:r>
      <w:r>
        <w:tab/>
        <w:t xml:space="preserve">Baken RJ, Orlikoff RF. </w:t>
      </w:r>
      <w:r>
        <w:rPr>
          <w:i/>
          <w:iCs/>
        </w:rPr>
        <w:t>Clinical Measurement of Speech &amp; Voice</w:t>
      </w:r>
      <w:r>
        <w:t>. 2nd edition. Cengage Learning; 1999.</w:t>
      </w:r>
    </w:p>
    <w:p w14:paraId="0C0555FC" w14:textId="77777777" w:rsidR="007C5A51" w:rsidRDefault="007C5A51" w:rsidP="007C5A51">
      <w:pPr>
        <w:pStyle w:val="Bibliography"/>
      </w:pPr>
      <w:r>
        <w:t xml:space="preserve">16. </w:t>
      </w:r>
      <w:r>
        <w:tab/>
        <w:t xml:space="preserve">Thibeault SL, Rousseau B, Welham NV, Hirano S, Bless DM. Hyaluronan levels in acute vocal fold scar. </w:t>
      </w:r>
      <w:r>
        <w:rPr>
          <w:i/>
          <w:iCs/>
        </w:rPr>
        <w:t>The Laryngoscope</w:t>
      </w:r>
      <w:r>
        <w:t>. 2004;114(4):760-764. doi:10.1097/00005537-200404000-00031</w:t>
      </w:r>
    </w:p>
    <w:p w14:paraId="43C04A16" w14:textId="77777777" w:rsidR="007C5A51" w:rsidRDefault="007C5A51" w:rsidP="007C5A51">
      <w:pPr>
        <w:pStyle w:val="Bibliography"/>
      </w:pPr>
      <w:r>
        <w:t xml:space="preserve">17. </w:t>
      </w:r>
      <w:r>
        <w:tab/>
        <w:t xml:space="preserve">Ward PD, Thibeault SL, Gray SD. Hyaluronic acid: its role in voice. </w:t>
      </w:r>
      <w:r>
        <w:rPr>
          <w:i/>
          <w:iCs/>
        </w:rPr>
        <w:t>Journal of Voice</w:t>
      </w:r>
      <w:r>
        <w:t>. 2002;16(3):303-309. doi:10.1016/S0892-1997(02)00101-7</w:t>
      </w:r>
    </w:p>
    <w:p w14:paraId="42E707E8" w14:textId="77777777" w:rsidR="007C5A51" w:rsidRDefault="007C5A51" w:rsidP="007C5A51">
      <w:pPr>
        <w:pStyle w:val="Bibliography"/>
      </w:pPr>
      <w:r>
        <w:t xml:space="preserve">18. </w:t>
      </w:r>
      <w:r>
        <w:tab/>
        <w:t xml:space="preserve">Titze IR, Hunter EJ. Normal vibration frequencies of the vocal ligament. </w:t>
      </w:r>
      <w:r>
        <w:rPr>
          <w:i/>
          <w:iCs/>
        </w:rPr>
        <w:t>The Journal of the Acoustical Society of America</w:t>
      </w:r>
      <w:r>
        <w:t>. 2004;115(5):2264-2269. doi:10.1121/1.1698832</w:t>
      </w:r>
    </w:p>
    <w:p w14:paraId="342727EC" w14:textId="77777777" w:rsidR="007C5A51" w:rsidRDefault="007C5A51" w:rsidP="007C5A51">
      <w:pPr>
        <w:pStyle w:val="Bibliography"/>
      </w:pPr>
      <w:r>
        <w:t xml:space="preserve">19. </w:t>
      </w:r>
      <w:r>
        <w:tab/>
        <w:t xml:space="preserve">Dietrich M, Verdolini Abbott K, Gartner-Schmidt J, Rosen CA. The frequency of perceived stress, anxiety, and depression in patients with common pathologies affecting voice. </w:t>
      </w:r>
      <w:r>
        <w:rPr>
          <w:i/>
          <w:iCs/>
        </w:rPr>
        <w:t>Journal of Voice</w:t>
      </w:r>
      <w:r>
        <w:t>. 2008;22(4):472-488. doi:10.1016/j.jvoice.2006.08.007</w:t>
      </w:r>
    </w:p>
    <w:p w14:paraId="5D335E00" w14:textId="77777777" w:rsidR="007C5A51" w:rsidRDefault="007C5A51" w:rsidP="007C5A51">
      <w:pPr>
        <w:pStyle w:val="Bibliography"/>
      </w:pPr>
      <w:r>
        <w:t xml:space="preserve">20. </w:t>
      </w:r>
      <w:r>
        <w:tab/>
        <w:t xml:space="preserve">Seifert E, Kollbrunner J. Stress and distress in non-organic voice disorder. </w:t>
      </w:r>
      <w:r>
        <w:rPr>
          <w:i/>
          <w:iCs/>
        </w:rPr>
        <w:t>SWISS MED WKLY</w:t>
      </w:r>
      <w:r>
        <w:t>.:11.</w:t>
      </w:r>
    </w:p>
    <w:p w14:paraId="16AA1AF7" w14:textId="77777777" w:rsidR="007C5A51" w:rsidRDefault="007C5A51" w:rsidP="007C5A51">
      <w:pPr>
        <w:pStyle w:val="Bibliography"/>
      </w:pPr>
      <w:r>
        <w:t xml:space="preserve">21. </w:t>
      </w:r>
      <w:r>
        <w:tab/>
        <w:t xml:space="preserve">Hsiao TY, Liu CM, Hsu CJ, Lee SY, Lin KN. Vocal fold abnormalities in laryngeal tension-fatigue syndrome. </w:t>
      </w:r>
      <w:r>
        <w:rPr>
          <w:i/>
          <w:iCs/>
        </w:rPr>
        <w:t>J Formos Med Assoc</w:t>
      </w:r>
      <w:r>
        <w:t>. 2001;100(12):4.</w:t>
      </w:r>
    </w:p>
    <w:p w14:paraId="16D93DF7" w14:textId="77777777" w:rsidR="007C5A51" w:rsidRDefault="007C5A51" w:rsidP="007C5A51">
      <w:pPr>
        <w:pStyle w:val="Bibliography"/>
      </w:pPr>
      <w:r>
        <w:t xml:space="preserve">22. </w:t>
      </w:r>
      <w:r>
        <w:tab/>
        <w:t xml:space="preserve">Bertelsen C, Zhou S, Hapner ER, Johns MM. Sociodemographic characteristics and treatment response among aging adults with voice disorders in the United States. </w:t>
      </w:r>
      <w:r>
        <w:rPr>
          <w:i/>
          <w:iCs/>
        </w:rPr>
        <w:t>JAMA Otolaryngology–Head &amp; Neck Surgery</w:t>
      </w:r>
      <w:r>
        <w:t>. 2018;144(8):719-726.</w:t>
      </w:r>
    </w:p>
    <w:p w14:paraId="272AE41B" w14:textId="77777777" w:rsidR="007C5A51" w:rsidRDefault="007C5A51" w:rsidP="007C5A51">
      <w:pPr>
        <w:pStyle w:val="Bibliography"/>
      </w:pPr>
      <w:r>
        <w:t xml:space="preserve">23. </w:t>
      </w:r>
      <w:r>
        <w:tab/>
        <w:t xml:space="preserve">Gray SD. Cellular physiology of the vocal folds. </w:t>
      </w:r>
      <w:r>
        <w:rPr>
          <w:i/>
          <w:iCs/>
        </w:rPr>
        <w:t>Otolaryngologic Clinics of North America</w:t>
      </w:r>
      <w:r>
        <w:t>. 2000;33(4):679-697. doi:10.1016/S0030-6665(05)70237-1</w:t>
      </w:r>
    </w:p>
    <w:p w14:paraId="337D9C34" w14:textId="77777777" w:rsidR="007C5A51" w:rsidRDefault="007C5A51" w:rsidP="007C5A51">
      <w:pPr>
        <w:pStyle w:val="Bibliography"/>
      </w:pPr>
      <w:r>
        <w:t xml:space="preserve">24. </w:t>
      </w:r>
      <w:r>
        <w:tab/>
        <w:t xml:space="preserve">Arens C, Glanz H, Wönckhaus J, Hersemeyer K, Kraft M. Histologic assessment of epithelial thickness in early laryngeal cancer or precursor lesions and its impact on endoscopic imaging. </w:t>
      </w:r>
      <w:r>
        <w:rPr>
          <w:i/>
          <w:iCs/>
        </w:rPr>
        <w:t>Eur Arch Otorhinolaryngol</w:t>
      </w:r>
      <w:r>
        <w:t>. 2007;264(6):645-649. doi:10.1007/s00405-007-0246-8</w:t>
      </w:r>
    </w:p>
    <w:p w14:paraId="74DE39CC" w14:textId="77777777" w:rsidR="007C5A51" w:rsidRDefault="007C5A51" w:rsidP="007C5A51">
      <w:pPr>
        <w:pStyle w:val="Bibliography"/>
      </w:pPr>
      <w:r>
        <w:t xml:space="preserve">25. </w:t>
      </w:r>
      <w:r>
        <w:tab/>
        <w:t xml:space="preserve">Leydon C, Sivasankar M, Falciglia DL, Atkins C, Fisher KV. Vocal fold surface hydration: A review. </w:t>
      </w:r>
      <w:r>
        <w:rPr>
          <w:i/>
          <w:iCs/>
        </w:rPr>
        <w:t>J Voice</w:t>
      </w:r>
      <w:r>
        <w:t>. 2009;23(6):658-665. doi:10.1016/j.jvoice.2008.03.010</w:t>
      </w:r>
    </w:p>
    <w:p w14:paraId="0C5C4F2F" w14:textId="77777777" w:rsidR="007C5A51" w:rsidRDefault="007C5A51" w:rsidP="007C5A51">
      <w:pPr>
        <w:pStyle w:val="Bibliography"/>
      </w:pPr>
      <w:r>
        <w:t xml:space="preserve">26. </w:t>
      </w:r>
      <w:r>
        <w:tab/>
        <w:t xml:space="preserve">Skou JC. The identification of the sodium pump. </w:t>
      </w:r>
      <w:r>
        <w:rPr>
          <w:i/>
          <w:iCs/>
        </w:rPr>
        <w:t>Biological Reports</w:t>
      </w:r>
      <w:r>
        <w:t>. 1998;18(4):155-159.</w:t>
      </w:r>
    </w:p>
    <w:p w14:paraId="4C566C28" w14:textId="77777777" w:rsidR="007C5A51" w:rsidRDefault="007C5A51" w:rsidP="007C5A51">
      <w:pPr>
        <w:pStyle w:val="Bibliography"/>
      </w:pPr>
      <w:r>
        <w:t xml:space="preserve">27. </w:t>
      </w:r>
      <w:r>
        <w:tab/>
        <w:t xml:space="preserve">Nielsen S, Chou CL, Marples D, Christensen EI, Kishore BK, Knepper MA. Vasopressin increases water permeability of kidney collecting duct by inducing translocation of aquaporin-CD water channels to plasma membrane. </w:t>
      </w:r>
      <w:r>
        <w:rPr>
          <w:i/>
          <w:iCs/>
        </w:rPr>
        <w:t>Proceedings of the National Academy of Sciences</w:t>
      </w:r>
      <w:r>
        <w:t>. 1995;92(4):1013-1017.</w:t>
      </w:r>
    </w:p>
    <w:p w14:paraId="2A800935" w14:textId="77777777" w:rsidR="007C5A51" w:rsidRDefault="007C5A51" w:rsidP="007C5A51">
      <w:pPr>
        <w:pStyle w:val="Bibliography"/>
      </w:pPr>
      <w:r>
        <w:t xml:space="preserve">28. </w:t>
      </w:r>
      <w:r>
        <w:tab/>
        <w:t xml:space="preserve">Wolburg H, Lippoldt A. Tight junctions of the blood–brain barrier: Development, composition and regulation. </w:t>
      </w:r>
      <w:r>
        <w:rPr>
          <w:i/>
          <w:iCs/>
        </w:rPr>
        <w:t>Vascular Pharmacology</w:t>
      </w:r>
      <w:r>
        <w:t>. 2002;38(6):323-337.</w:t>
      </w:r>
    </w:p>
    <w:p w14:paraId="0CEE0575" w14:textId="77777777" w:rsidR="007C5A51" w:rsidRDefault="007C5A51" w:rsidP="007C5A51">
      <w:pPr>
        <w:pStyle w:val="Bibliography"/>
      </w:pPr>
      <w:r>
        <w:t xml:space="preserve">29. </w:t>
      </w:r>
      <w:r>
        <w:tab/>
        <w:t xml:space="preserve">Tsukita S, Yamazaki Y, Katsuno T, Tamura A, Tsukita S. Tight junction-based epithelial microenvironment and cell proliferation. </w:t>
      </w:r>
      <w:r>
        <w:rPr>
          <w:i/>
          <w:iCs/>
        </w:rPr>
        <w:t>Oncogene</w:t>
      </w:r>
      <w:r>
        <w:t>. 2008;27(55):6930-6938. doi:10.1038/onc.2008.344</w:t>
      </w:r>
    </w:p>
    <w:p w14:paraId="22540CC2" w14:textId="77777777" w:rsidR="007C5A51" w:rsidRDefault="007C5A51" w:rsidP="007C5A51">
      <w:pPr>
        <w:pStyle w:val="Bibliography"/>
      </w:pPr>
      <w:r>
        <w:t xml:space="preserve">30. </w:t>
      </w:r>
      <w:r>
        <w:tab/>
        <w:t xml:space="preserve">Sivasankar M, Erickson E, Rosenblatt M, Branski RC. Hypertonic challenge to porcine vocal folds: Effects on epithelial barrier function. </w:t>
      </w:r>
      <w:r>
        <w:rPr>
          <w:i/>
          <w:iCs/>
        </w:rPr>
        <w:t>Otolaryngol Head Neck Surg</w:t>
      </w:r>
      <w:r>
        <w:t>. 2010;142(1):79-84. doi:10.1016/j.otohns.2009.09.011</w:t>
      </w:r>
    </w:p>
    <w:p w14:paraId="0D7A2B3F" w14:textId="77777777" w:rsidR="007C5A51" w:rsidRDefault="007C5A51" w:rsidP="007C5A51">
      <w:pPr>
        <w:pStyle w:val="Bibliography"/>
      </w:pPr>
      <w:r>
        <w:t xml:space="preserve">31. </w:t>
      </w:r>
      <w:r>
        <w:tab/>
        <w:t xml:space="preserve">Rousseau B, Suehiro A, Echemendia N, Sivasankar M. Raised intensity phonation compromises vocal fold epithelial barrier integrity. </w:t>
      </w:r>
      <w:r>
        <w:rPr>
          <w:i/>
          <w:iCs/>
        </w:rPr>
        <w:t>Laryngoscope</w:t>
      </w:r>
      <w:r>
        <w:t>. 2011;121(2):346-351. doi:10.1002/lary.21364</w:t>
      </w:r>
    </w:p>
    <w:p w14:paraId="22D9CF47" w14:textId="77777777" w:rsidR="007C5A51" w:rsidRDefault="007C5A51" w:rsidP="007C5A51">
      <w:pPr>
        <w:pStyle w:val="Bibliography"/>
      </w:pPr>
      <w:r>
        <w:t xml:space="preserve">32. </w:t>
      </w:r>
      <w:r>
        <w:tab/>
        <w:t xml:space="preserve">Zhang Q, Fisher K. Tight junction-related barrier contributes to the electrophysiological asymmetry across vocal fold epithelium. Deli MA, ed. </w:t>
      </w:r>
      <w:r>
        <w:rPr>
          <w:i/>
          <w:iCs/>
        </w:rPr>
        <w:t>PLoS ONE</w:t>
      </w:r>
      <w:r>
        <w:t>. 2012;7(3):e34017. doi:10.1371/journal.pone.0034017</w:t>
      </w:r>
    </w:p>
    <w:p w14:paraId="18F1A3E6" w14:textId="77777777" w:rsidR="007C5A51" w:rsidRDefault="007C5A51" w:rsidP="007C5A51">
      <w:pPr>
        <w:pStyle w:val="Bibliography"/>
      </w:pPr>
      <w:r>
        <w:t xml:space="preserve">33. </w:t>
      </w:r>
      <w:r>
        <w:tab/>
        <w:t xml:space="preserve">Gill GA, Buda A, Moorghen M, Dettmar PW, Pignatelli M. Characterisation of adherens and tight junctional molecules in normal animal larynx; determining a suitable model for studying molecular abnormalities in human laryngopharyngeal reflux. </w:t>
      </w:r>
      <w:r>
        <w:rPr>
          <w:i/>
          <w:iCs/>
        </w:rPr>
        <w:t>Journal of Clinical Pathology</w:t>
      </w:r>
      <w:r>
        <w:t>. 2005;58(12):1265-1270. doi:10.1136/jcp.2004.016972</w:t>
      </w:r>
    </w:p>
    <w:p w14:paraId="09295E83" w14:textId="77777777" w:rsidR="007C5A51" w:rsidRDefault="007C5A51" w:rsidP="007C5A51">
      <w:pPr>
        <w:pStyle w:val="Bibliography"/>
      </w:pPr>
      <w:r>
        <w:t xml:space="preserve">34. </w:t>
      </w:r>
      <w:r>
        <w:tab/>
        <w:t xml:space="preserve">Takeichi M. Cadherins: a molecular family important in selective cell-cell adhesion. </w:t>
      </w:r>
      <w:r>
        <w:rPr>
          <w:i/>
          <w:iCs/>
        </w:rPr>
        <w:t>Annual Review of Biochemistry</w:t>
      </w:r>
      <w:r>
        <w:t>. 1990;59(1):237-252.</w:t>
      </w:r>
    </w:p>
    <w:p w14:paraId="131B84A9" w14:textId="77777777" w:rsidR="007C5A51" w:rsidRDefault="007C5A51" w:rsidP="007C5A51">
      <w:pPr>
        <w:pStyle w:val="Bibliography"/>
      </w:pPr>
      <w:r>
        <w:t xml:space="preserve">35. </w:t>
      </w:r>
      <w:r>
        <w:tab/>
        <w:t xml:space="preserve">Gray SD, Pignatari SS, Harding P. Morphologic ultrastructure of anchoring fibers in normal vocal fold basement membrane zone. </w:t>
      </w:r>
      <w:r>
        <w:rPr>
          <w:i/>
          <w:iCs/>
        </w:rPr>
        <w:t>Journal of Voice</w:t>
      </w:r>
      <w:r>
        <w:t>. 1994;8(1):48-52.</w:t>
      </w:r>
    </w:p>
    <w:p w14:paraId="21BCFC4C" w14:textId="77777777" w:rsidR="007C5A51" w:rsidRDefault="007C5A51" w:rsidP="007C5A51">
      <w:pPr>
        <w:pStyle w:val="Bibliography"/>
      </w:pPr>
      <w:r>
        <w:t xml:space="preserve">36. </w:t>
      </w:r>
      <w:r>
        <w:tab/>
        <w:t xml:space="preserve">Clark RA, Nielsen LD, Welch MP, McPherson JM. Collagen matrices attenuate the collagen-synthetic response of cultured fibroblasts to TGF-beta. </w:t>
      </w:r>
      <w:r>
        <w:rPr>
          <w:i/>
          <w:iCs/>
        </w:rPr>
        <w:t>Journal of cell science</w:t>
      </w:r>
      <w:r>
        <w:t>. 1995;108(3):1251-1261.</w:t>
      </w:r>
    </w:p>
    <w:p w14:paraId="6A27AC39" w14:textId="77777777" w:rsidR="007C5A51" w:rsidRDefault="007C5A51" w:rsidP="007C5A51">
      <w:pPr>
        <w:pStyle w:val="Bibliography"/>
      </w:pPr>
      <w:r>
        <w:t xml:space="preserve">37. </w:t>
      </w:r>
      <w:r>
        <w:tab/>
        <w:t xml:space="preserve">Moore J, Thibeault S. Insights into the role of elastin in vocal fold health and disease. </w:t>
      </w:r>
      <w:r>
        <w:rPr>
          <w:i/>
          <w:iCs/>
        </w:rPr>
        <w:t>Journal of Voice</w:t>
      </w:r>
      <w:r>
        <w:t>. 2011;26(3):269-275. doi:10.1016/j.jvoice.2011.05.003</w:t>
      </w:r>
    </w:p>
    <w:p w14:paraId="0F0704E4" w14:textId="77777777" w:rsidR="007C5A51" w:rsidRDefault="007C5A51" w:rsidP="007C5A51">
      <w:pPr>
        <w:pStyle w:val="Bibliography"/>
      </w:pPr>
      <w:r>
        <w:t xml:space="preserve">38. </w:t>
      </w:r>
      <w:r>
        <w:tab/>
        <w:t xml:space="preserve">Gray SD, Alipour F, Titze IR, Hammond TH. Biomechanical and histologic observations of vocal fold fibrous proteins. </w:t>
      </w:r>
      <w:r>
        <w:rPr>
          <w:i/>
          <w:iCs/>
        </w:rPr>
        <w:t>Ann Otol Rhinol Laryngol</w:t>
      </w:r>
      <w:r>
        <w:t>. 2000;109(1):77-85. doi:10.1177/000348940010900115</w:t>
      </w:r>
    </w:p>
    <w:p w14:paraId="1B534DD0" w14:textId="77777777" w:rsidR="007C5A51" w:rsidRDefault="007C5A51" w:rsidP="007C5A51">
      <w:pPr>
        <w:pStyle w:val="Bibliography"/>
      </w:pPr>
      <w:r>
        <w:t xml:space="preserve">39. </w:t>
      </w:r>
      <w:r>
        <w:tab/>
        <w:t xml:space="preserve">Gray SD, Titze IR, Chan R, Hammond TH. Vocal fold proteoglycans and their influence on biomechanics. </w:t>
      </w:r>
      <w:r>
        <w:rPr>
          <w:i/>
          <w:iCs/>
        </w:rPr>
        <w:t>The Laryngoscope</w:t>
      </w:r>
      <w:r>
        <w:t>. 1999;109(6):845-854. doi:10.1097/00005537-199906000-00001</w:t>
      </w:r>
    </w:p>
    <w:p w14:paraId="65DCD3C4" w14:textId="77777777" w:rsidR="007C5A51" w:rsidRDefault="007C5A51" w:rsidP="007C5A51">
      <w:pPr>
        <w:pStyle w:val="Bibliography"/>
      </w:pPr>
      <w:r>
        <w:t xml:space="preserve">40. </w:t>
      </w:r>
      <w:r>
        <w:tab/>
        <w:t xml:space="preserve">Voinchet V, Vasseur P, Kern J. Efficacy and safety of hyaluronic acid in the management of acute wounds. </w:t>
      </w:r>
      <w:r>
        <w:rPr>
          <w:i/>
          <w:iCs/>
        </w:rPr>
        <w:t>American Journal of Clinical Dermatology</w:t>
      </w:r>
      <w:r>
        <w:t>. 2006;7(6):353-357. doi:10.2165/00128071-200607060-00003</w:t>
      </w:r>
    </w:p>
    <w:p w14:paraId="63B4F0AD" w14:textId="77777777" w:rsidR="007C5A51" w:rsidRDefault="007C5A51" w:rsidP="007C5A51">
      <w:pPr>
        <w:pStyle w:val="Bibliography"/>
      </w:pPr>
      <w:r>
        <w:t xml:space="preserve">41. </w:t>
      </w:r>
      <w:r>
        <w:tab/>
        <w:t xml:space="preserve">Weigel PH, Fuller GM, LeBoeuf RD. A model for the role of hyaluronic acid and fibrin in the early events during the inflammatory response and wound healing. </w:t>
      </w:r>
      <w:r>
        <w:rPr>
          <w:i/>
          <w:iCs/>
        </w:rPr>
        <w:t>Journal of Theoretical Biology</w:t>
      </w:r>
      <w:r>
        <w:t>. 1986;119(2):219-234. doi:10.1016/S0022-5193(86)80076-5</w:t>
      </w:r>
    </w:p>
    <w:p w14:paraId="2F81FAF5" w14:textId="77777777" w:rsidR="007C5A51" w:rsidRDefault="007C5A51" w:rsidP="007C5A51">
      <w:pPr>
        <w:pStyle w:val="Bibliography"/>
      </w:pPr>
      <w:r>
        <w:t xml:space="preserve">42. </w:t>
      </w:r>
      <w:r>
        <w:tab/>
        <w:t xml:space="preserve">Hammond TH, Zhou R, Hammond E, Pawlak A, Gray S. The intermediate layer: a morphologic study of the elastin and hyaluronic acid constituents of normal human vocal folds. </w:t>
      </w:r>
      <w:r>
        <w:rPr>
          <w:i/>
          <w:iCs/>
        </w:rPr>
        <w:t>National Center for Voice and Speech Status and Progress Report</w:t>
      </w:r>
      <w:r>
        <w:t>. 1995;8(July):49-54.</w:t>
      </w:r>
    </w:p>
    <w:p w14:paraId="2885683D" w14:textId="77777777" w:rsidR="007C5A51" w:rsidRDefault="007C5A51" w:rsidP="007C5A51">
      <w:pPr>
        <w:pStyle w:val="Bibliography"/>
      </w:pPr>
      <w:r>
        <w:t xml:space="preserve">43. </w:t>
      </w:r>
      <w:r>
        <w:tab/>
        <w:t xml:space="preserve">Hirano M. Phonosurgery: basic and clinical investigations. </w:t>
      </w:r>
      <w:r>
        <w:rPr>
          <w:i/>
          <w:iCs/>
        </w:rPr>
        <w:t>Otol (Fukuoka)</w:t>
      </w:r>
      <w:r>
        <w:t>. 1975;21:239-242.</w:t>
      </w:r>
    </w:p>
    <w:p w14:paraId="20FCC0D5" w14:textId="77777777" w:rsidR="007C5A51" w:rsidRDefault="007C5A51" w:rsidP="007C5A51">
      <w:pPr>
        <w:pStyle w:val="Bibliography"/>
      </w:pPr>
      <w:r>
        <w:t xml:space="preserve">44. </w:t>
      </w:r>
      <w:r>
        <w:tab/>
        <w:t xml:space="preserve">Pawlak AS, Hammond E, Hammond T, Gray SD. Immunocytochemical study of proteoglycans in vocal folds. </w:t>
      </w:r>
      <w:r>
        <w:rPr>
          <w:i/>
          <w:iCs/>
        </w:rPr>
        <w:t>Annals of Otology, Rhinology &amp; Laryngology</w:t>
      </w:r>
      <w:r>
        <w:t>. 1996;105(1):6-11.</w:t>
      </w:r>
    </w:p>
    <w:p w14:paraId="1B7E6899" w14:textId="77777777" w:rsidR="007C5A51" w:rsidRDefault="007C5A51" w:rsidP="007C5A51">
      <w:pPr>
        <w:pStyle w:val="Bibliography"/>
      </w:pPr>
      <w:r>
        <w:t xml:space="preserve">45. </w:t>
      </w:r>
      <w:r>
        <w:tab/>
        <w:t xml:space="preserve">Butler JE, Hammond TH, Gray SD. Gender‐related differences of hyaluronic acid distribution in the human vocal fold. </w:t>
      </w:r>
      <w:r>
        <w:rPr>
          <w:i/>
          <w:iCs/>
        </w:rPr>
        <w:t>The Laryngoscope</w:t>
      </w:r>
      <w:r>
        <w:t>. 2001;111(5):907-911.</w:t>
      </w:r>
    </w:p>
    <w:p w14:paraId="5B7F786B" w14:textId="77777777" w:rsidR="007C5A51" w:rsidRDefault="007C5A51" w:rsidP="007C5A51">
      <w:pPr>
        <w:pStyle w:val="Bibliography"/>
      </w:pPr>
      <w:r>
        <w:t xml:space="preserve">46. </w:t>
      </w:r>
      <w:r>
        <w:tab/>
        <w:t xml:space="preserve">Gray SD. Molecular and cellular structure of vocal fold tissue. </w:t>
      </w:r>
      <w:r>
        <w:rPr>
          <w:i/>
          <w:iCs/>
        </w:rPr>
        <w:t>Vocal fold physiology</w:t>
      </w:r>
      <w:r>
        <w:t>. Published online 1993:1-17.</w:t>
      </w:r>
    </w:p>
    <w:p w14:paraId="443B7B9C" w14:textId="77777777" w:rsidR="007C5A51" w:rsidRDefault="007C5A51" w:rsidP="007C5A51">
      <w:pPr>
        <w:pStyle w:val="Bibliography"/>
      </w:pPr>
      <w:r>
        <w:t xml:space="preserve">47. </w:t>
      </w:r>
      <w:r>
        <w:tab/>
        <w:t xml:space="preserve">Hirano M. Morphological structure of the vocal cord as a vibrator and its variations. </w:t>
      </w:r>
      <w:r>
        <w:rPr>
          <w:i/>
          <w:iCs/>
        </w:rPr>
        <w:t>Folia phoniatrica et logopaedica</w:t>
      </w:r>
      <w:r>
        <w:t>. 1974;26(2):89-94.</w:t>
      </w:r>
    </w:p>
    <w:p w14:paraId="3901E83D" w14:textId="77777777" w:rsidR="007C5A51" w:rsidRDefault="007C5A51" w:rsidP="007C5A51">
      <w:pPr>
        <w:pStyle w:val="Bibliography"/>
      </w:pPr>
      <w:r>
        <w:t xml:space="preserve">48. </w:t>
      </w:r>
      <w:r>
        <w:tab/>
        <w:t xml:space="preserve">Sanders I, Wu B, Biller H. Phonatory specializations of human laryngeal muscles. </w:t>
      </w:r>
      <w:r>
        <w:rPr>
          <w:i/>
          <w:iCs/>
        </w:rPr>
        <w:t>Trans Am Laryngol Assoc</w:t>
      </w:r>
      <w:r>
        <w:t>. 1994;115:153.</w:t>
      </w:r>
    </w:p>
    <w:p w14:paraId="19373A77" w14:textId="77777777" w:rsidR="007C5A51" w:rsidRDefault="007C5A51" w:rsidP="007C5A51">
      <w:pPr>
        <w:pStyle w:val="Bibliography"/>
      </w:pPr>
      <w:r>
        <w:t xml:space="preserve">49. </w:t>
      </w:r>
      <w:r>
        <w:tab/>
        <w:t xml:space="preserve">Sanders I, Han Y, Wang J, Biller H. Muscle spindles are concentrated in the superior vocalis subcompartment of the human thyroarytenoid muscle. </w:t>
      </w:r>
      <w:r>
        <w:rPr>
          <w:i/>
          <w:iCs/>
        </w:rPr>
        <w:t>Journal of Voice</w:t>
      </w:r>
      <w:r>
        <w:t>. 1998;12(1):7-16.</w:t>
      </w:r>
    </w:p>
    <w:p w14:paraId="76CA9396" w14:textId="77777777" w:rsidR="007C5A51" w:rsidRDefault="007C5A51" w:rsidP="007C5A51">
      <w:pPr>
        <w:pStyle w:val="Bibliography"/>
      </w:pPr>
      <w:r>
        <w:t xml:space="preserve">50. </w:t>
      </w:r>
      <w:r>
        <w:tab/>
        <w:t xml:space="preserve">Cielo CA, Elias VS, Brum DM, Ferreira FV. Thyroarytenoid muscle and vocal fry: a literature review. </w:t>
      </w:r>
      <w:r>
        <w:rPr>
          <w:i/>
          <w:iCs/>
        </w:rPr>
        <w:t>Revista da Sociedade Brasileira de Fonoaudiologia</w:t>
      </w:r>
      <w:r>
        <w:t>. 2011;16(3):362-369. doi:10.1590/S1516-80342011000300020</w:t>
      </w:r>
    </w:p>
    <w:p w14:paraId="548CCFB6" w14:textId="77777777" w:rsidR="007C5A51" w:rsidRDefault="007C5A51" w:rsidP="007C5A51">
      <w:pPr>
        <w:pStyle w:val="Bibliography"/>
      </w:pPr>
      <w:r>
        <w:t xml:space="preserve">51. </w:t>
      </w:r>
      <w:r>
        <w:tab/>
        <w:t xml:space="preserve">Hirano M. Morfological structure of the vocal fold as a vibrator and its variations. </w:t>
      </w:r>
      <w:r>
        <w:rPr>
          <w:i/>
          <w:iCs/>
        </w:rPr>
        <w:t>Folia Phoniatr (Basel)</w:t>
      </w:r>
      <w:r>
        <w:t>. 1974;26:89-4.</w:t>
      </w:r>
    </w:p>
    <w:p w14:paraId="39095A73" w14:textId="77777777" w:rsidR="007C5A51" w:rsidRDefault="007C5A51" w:rsidP="007C5A51">
      <w:pPr>
        <w:pStyle w:val="Bibliography"/>
      </w:pPr>
      <w:r>
        <w:t xml:space="preserve">52. </w:t>
      </w:r>
      <w:r>
        <w:tab/>
        <w:t xml:space="preserve">Alipour F, Titze I. Combined simulation of two dimensional airflow and vocal fold vibration. </w:t>
      </w:r>
      <w:r>
        <w:rPr>
          <w:i/>
          <w:iCs/>
        </w:rPr>
        <w:t>Status and Progress Report, National Center for Voice and Speech</w:t>
      </w:r>
      <w:r>
        <w:t>. 1995;8:9-14.</w:t>
      </w:r>
    </w:p>
    <w:p w14:paraId="36DFC5BE" w14:textId="77777777" w:rsidR="007C5A51" w:rsidRDefault="007C5A51" w:rsidP="007C5A51">
      <w:pPr>
        <w:pStyle w:val="Bibliography"/>
      </w:pPr>
      <w:r>
        <w:t xml:space="preserve">53. </w:t>
      </w:r>
      <w:r>
        <w:tab/>
        <w:t xml:space="preserve">Oren L, Khosla S, Gutmark E. Intraglottal geometry and velocity measurements in canine larynges. </w:t>
      </w:r>
      <w:r>
        <w:rPr>
          <w:i/>
          <w:iCs/>
        </w:rPr>
        <w:t>The Journal of the Acoustical Society of America</w:t>
      </w:r>
      <w:r>
        <w:t>. 2014;135(1):380-388.</w:t>
      </w:r>
    </w:p>
    <w:p w14:paraId="41B1ED4E" w14:textId="77777777" w:rsidR="007C5A51" w:rsidRDefault="007C5A51" w:rsidP="007C5A51">
      <w:pPr>
        <w:pStyle w:val="Bibliography"/>
      </w:pPr>
      <w:r>
        <w:t xml:space="preserve">54. </w:t>
      </w:r>
      <w:r>
        <w:tab/>
        <w:t xml:space="preserve">Jaworek AJ, Earasi K, Lyons KM, Daggumati S, Hu A, Sataloff RT. Acute infectious laryngitis: A case series. </w:t>
      </w:r>
      <w:r>
        <w:rPr>
          <w:i/>
          <w:iCs/>
        </w:rPr>
        <w:t>Ear, Nose &amp; Throat Journal</w:t>
      </w:r>
      <w:r>
        <w:t>. 2018;97(9):306-313. doi:10.1177/014556131809700920</w:t>
      </w:r>
    </w:p>
    <w:p w14:paraId="61E996A9" w14:textId="77777777" w:rsidR="007C5A51" w:rsidRDefault="007C5A51" w:rsidP="007C5A51">
      <w:pPr>
        <w:pStyle w:val="Bibliography"/>
      </w:pPr>
      <w:r>
        <w:t xml:space="preserve">55. </w:t>
      </w:r>
      <w:r>
        <w:tab/>
        <w:t xml:space="preserve">Ng ML, Gilbert HR, Lerman JW. Some aerodynamic and acoustic characteristicsof acute laryngitis. </w:t>
      </w:r>
      <w:r>
        <w:rPr>
          <w:i/>
          <w:iCs/>
        </w:rPr>
        <w:t>Journal of Voice</w:t>
      </w:r>
      <w:r>
        <w:t>. 1997;11(3):356-363. doi:10.1016/S0892-1997(97)80015-X</w:t>
      </w:r>
    </w:p>
    <w:p w14:paraId="5945BC9E" w14:textId="77777777" w:rsidR="007C5A51" w:rsidRDefault="007C5A51" w:rsidP="007C5A51">
      <w:pPr>
        <w:pStyle w:val="Bibliography"/>
      </w:pPr>
      <w:r>
        <w:t xml:space="preserve">56. </w:t>
      </w:r>
      <w:r>
        <w:tab/>
        <w:t xml:space="preserve">Woo P, Casper J, Colton R, Brewer D. Diagnosis and treatment of persistent dysphonia after laryngeal surgery: A retrospective analysis of 62 patients. </w:t>
      </w:r>
      <w:r>
        <w:rPr>
          <w:i/>
          <w:iCs/>
        </w:rPr>
        <w:t>Laryngoscope</w:t>
      </w:r>
      <w:r>
        <w:t>. 1994;104:1084-1091. doi:10.1288/00005537-199409000-00007</w:t>
      </w:r>
    </w:p>
    <w:p w14:paraId="6361D077" w14:textId="77777777" w:rsidR="007C5A51" w:rsidRDefault="007C5A51" w:rsidP="007C5A51">
      <w:pPr>
        <w:pStyle w:val="Bibliography"/>
      </w:pPr>
      <w:r>
        <w:t xml:space="preserve">57. </w:t>
      </w:r>
      <w:r>
        <w:tab/>
        <w:t xml:space="preserve">Rosen CA, Lombard LE, Murry T. Acoustic, Aerodynamic, and Videostroboscopic Features of Bilateral Vocal Fold Lesions. </w:t>
      </w:r>
      <w:r>
        <w:rPr>
          <w:i/>
          <w:iCs/>
        </w:rPr>
        <w:t>Ann Otol Rhinol Laryngol</w:t>
      </w:r>
      <w:r>
        <w:t>. 2000;109(9):823-828. doi:10.1177/000348940010900907</w:t>
      </w:r>
    </w:p>
    <w:p w14:paraId="3A87419E" w14:textId="77777777" w:rsidR="007C5A51" w:rsidRDefault="007C5A51" w:rsidP="007C5A51">
      <w:pPr>
        <w:pStyle w:val="Bibliography"/>
      </w:pPr>
      <w:r>
        <w:t xml:space="preserve">58. </w:t>
      </w:r>
      <w:r>
        <w:tab/>
        <w:t xml:space="preserve">Wilgus TA. Inflammation as an orchestrator of cutaneous scar formation: a review of the literature. </w:t>
      </w:r>
      <w:r>
        <w:rPr>
          <w:i/>
          <w:iCs/>
        </w:rPr>
        <w:t>Plastic and aesthetic research</w:t>
      </w:r>
      <w:r>
        <w:t>. 2020;7.</w:t>
      </w:r>
    </w:p>
    <w:p w14:paraId="71ED22D0" w14:textId="77777777" w:rsidR="007C5A51" w:rsidRDefault="007C5A51" w:rsidP="007C5A51">
      <w:pPr>
        <w:pStyle w:val="Bibliography"/>
      </w:pPr>
      <w:r>
        <w:t xml:space="preserve">59. </w:t>
      </w:r>
      <w:r>
        <w:tab/>
        <w:t xml:space="preserve">Dworkin JP. Laryngitis: types, causes, and treatments. </w:t>
      </w:r>
      <w:r>
        <w:rPr>
          <w:i/>
          <w:iCs/>
        </w:rPr>
        <w:t>Otolaryngologic Clinics of North America</w:t>
      </w:r>
      <w:r>
        <w:t>. 2008;41(2):419-436. doi:10.1016/j.otc.2007.11.011</w:t>
      </w:r>
    </w:p>
    <w:p w14:paraId="315D6C4A" w14:textId="77777777" w:rsidR="007C5A51" w:rsidRDefault="007C5A51" w:rsidP="007C5A51">
      <w:pPr>
        <w:pStyle w:val="Bibliography"/>
      </w:pPr>
      <w:r>
        <w:t xml:space="preserve">60. </w:t>
      </w:r>
      <w:r>
        <w:tab/>
        <w:t xml:space="preserve">Richter J. Do we know the cause of reflux disease? </w:t>
      </w:r>
      <w:r>
        <w:rPr>
          <w:i/>
          <w:iCs/>
        </w:rPr>
        <w:t>European journal of gastroenterology &amp; hepatology</w:t>
      </w:r>
      <w:r>
        <w:t>. 1999;11 Suppl 1:S3-9.</w:t>
      </w:r>
    </w:p>
    <w:p w14:paraId="68102DEB" w14:textId="77777777" w:rsidR="007C5A51" w:rsidRDefault="007C5A51" w:rsidP="007C5A51">
      <w:pPr>
        <w:pStyle w:val="Bibliography"/>
      </w:pPr>
      <w:r>
        <w:t xml:space="preserve">61. </w:t>
      </w:r>
      <w:r>
        <w:tab/>
        <w:t xml:space="preserve">Childs LF, Rickert S, Wengerman OC, Lebovics R, Blitzer A. Laryngeal manifestations of relapsingpolychondritis and a novel treatment option. </w:t>
      </w:r>
      <w:r>
        <w:rPr>
          <w:i/>
          <w:iCs/>
        </w:rPr>
        <w:t>Journal of Voice</w:t>
      </w:r>
      <w:r>
        <w:t>. 2012;26(5):587-589. doi:10.1016/j.jvoice.2011.07.012</w:t>
      </w:r>
    </w:p>
    <w:p w14:paraId="4FBE84CF" w14:textId="77777777" w:rsidR="007C5A51" w:rsidRDefault="007C5A51" w:rsidP="007C5A51">
      <w:pPr>
        <w:pStyle w:val="Bibliography"/>
      </w:pPr>
      <w:r>
        <w:t xml:space="preserve">62. </w:t>
      </w:r>
      <w:r>
        <w:tab/>
        <w:t xml:space="preserve">Swain SK, Sahu MC, Parida JR. Wegener’s granulomatosis causing subglottic stenosis: Experiences at a tertiary care hospital of the Eastern India. </w:t>
      </w:r>
      <w:r>
        <w:rPr>
          <w:i/>
          <w:iCs/>
        </w:rPr>
        <w:t>Journal of Taibah University Medical Sciences</w:t>
      </w:r>
      <w:r>
        <w:t>. Published online 2016. doi:10.1016/j.jtumed.2016.01.005</w:t>
      </w:r>
    </w:p>
    <w:p w14:paraId="5AF9DD61" w14:textId="77777777" w:rsidR="007C5A51" w:rsidRDefault="007C5A51" w:rsidP="007C5A51">
      <w:pPr>
        <w:pStyle w:val="Bibliography"/>
      </w:pPr>
      <w:r>
        <w:t xml:space="preserve">63. </w:t>
      </w:r>
      <w:r>
        <w:tab/>
        <w:t xml:space="preserve">Hamdan AL, Sarieddine D. Laryngeal manifestations of rheumatoid arthritis. </w:t>
      </w:r>
      <w:r>
        <w:rPr>
          <w:i/>
          <w:iCs/>
        </w:rPr>
        <w:t>Autoimmune Diseases</w:t>
      </w:r>
      <w:r>
        <w:t>. 2013;2013. doi:10.1155/2013/103081</w:t>
      </w:r>
    </w:p>
    <w:p w14:paraId="3EAEA675" w14:textId="77777777" w:rsidR="007C5A51" w:rsidRDefault="007C5A51" w:rsidP="007C5A51">
      <w:pPr>
        <w:pStyle w:val="Bibliography"/>
      </w:pPr>
      <w:r>
        <w:t xml:space="preserve">64. </w:t>
      </w:r>
      <w:r>
        <w:tab/>
        <w:t xml:space="preserve">Habib MA. Intra-articular steroid injection in acute rheumatoid arthritis of the larynx. </w:t>
      </w:r>
      <w:r>
        <w:rPr>
          <w:i/>
          <w:iCs/>
        </w:rPr>
        <w:t>Journal of Laryngology and Otology</w:t>
      </w:r>
      <w:r>
        <w:t>. 1977;91(10):909-910. doi:10.1017/S0022215100084541</w:t>
      </w:r>
    </w:p>
    <w:p w14:paraId="4D34B6A3" w14:textId="77777777" w:rsidR="007C5A51" w:rsidRDefault="007C5A51" w:rsidP="007C5A51">
      <w:pPr>
        <w:pStyle w:val="Bibliography"/>
      </w:pPr>
      <w:r>
        <w:t xml:space="preserve">65. </w:t>
      </w:r>
      <w:r>
        <w:tab/>
        <w:t xml:space="preserve">Johns MM. Update on the etiology, diagnosis, and treatment of vocal fold nodules, polyps, and cysts. </w:t>
      </w:r>
      <w:r>
        <w:rPr>
          <w:i/>
          <w:iCs/>
        </w:rPr>
        <w:t>Current Opinion in Otolaryngology &amp; Head and Neck Surgery</w:t>
      </w:r>
      <w:r>
        <w:t>. 2003;11(6):456-461.</w:t>
      </w:r>
    </w:p>
    <w:p w14:paraId="7A4F66C6" w14:textId="77777777" w:rsidR="007C5A51" w:rsidRDefault="007C5A51" w:rsidP="007C5A51">
      <w:pPr>
        <w:pStyle w:val="Bibliography"/>
      </w:pPr>
      <w:r>
        <w:t xml:space="preserve">66. </w:t>
      </w:r>
      <w:r>
        <w:tab/>
        <w:t xml:space="preserve">Branski R, Verdolini K, Sandulache V, Rosen C, Hebda P. Vocal fold wound healing: A review for clinicians. </w:t>
      </w:r>
      <w:r>
        <w:rPr>
          <w:i/>
          <w:iCs/>
        </w:rPr>
        <w:t>Journal of Voice</w:t>
      </w:r>
      <w:r>
        <w:t>. 2006;20(3):432-442. doi:10.1016/j.jvoice.2005.08.005</w:t>
      </w:r>
    </w:p>
    <w:p w14:paraId="5326B8C8" w14:textId="77777777" w:rsidR="007C5A51" w:rsidRDefault="007C5A51" w:rsidP="007C5A51">
      <w:pPr>
        <w:pStyle w:val="Bibliography"/>
      </w:pPr>
      <w:r>
        <w:t xml:space="preserve">67. </w:t>
      </w:r>
      <w:r>
        <w:tab/>
        <w:t xml:space="preserve">Naunheim MR, Carroll TL. Benign vocal fold lesions: update on nomenclature, cause, diagnosis, and treatment. </w:t>
      </w:r>
      <w:r>
        <w:rPr>
          <w:i/>
          <w:iCs/>
        </w:rPr>
        <w:t>Current Opinion in Otolaryngology &amp; Head and Neck Surgery</w:t>
      </w:r>
      <w:r>
        <w:t>. 2017;25(6):453-458. doi:10.1097/MOO.0000000000000408</w:t>
      </w:r>
    </w:p>
    <w:p w14:paraId="0F8BBE6E" w14:textId="77777777" w:rsidR="007C5A51" w:rsidRDefault="007C5A51" w:rsidP="007C5A51">
      <w:pPr>
        <w:pStyle w:val="Bibliography"/>
      </w:pPr>
      <w:r>
        <w:t xml:space="preserve">68. </w:t>
      </w:r>
      <w:r>
        <w:tab/>
        <w:t xml:space="preserve">Benninger MS, Alessi D, Archer S, et al. Vocal fold scarring: Current concepts and management. </w:t>
      </w:r>
      <w:r>
        <w:rPr>
          <w:i/>
          <w:iCs/>
        </w:rPr>
        <w:t>Otolaryngology—head and neck surgery</w:t>
      </w:r>
      <w:r>
        <w:t>. 1996;115(5):474-482. doi:10.1016/S0194-5998(96)70087-6</w:t>
      </w:r>
    </w:p>
    <w:p w14:paraId="7F153968" w14:textId="77777777" w:rsidR="007C5A51" w:rsidRDefault="007C5A51" w:rsidP="007C5A51">
      <w:pPr>
        <w:pStyle w:val="Bibliography"/>
      </w:pPr>
      <w:r>
        <w:t xml:space="preserve">69. </w:t>
      </w:r>
      <w:r>
        <w:tab/>
        <w:t xml:space="preserve">Singer AJ, Clark R. Mechanisms of disease: cutaneous wound healing. </w:t>
      </w:r>
      <w:r>
        <w:rPr>
          <w:i/>
          <w:iCs/>
        </w:rPr>
        <w:t>The New England Journal of Medicine</w:t>
      </w:r>
      <w:r>
        <w:t>. 1999;341(1):738-746.</w:t>
      </w:r>
    </w:p>
    <w:p w14:paraId="6C483481" w14:textId="77777777" w:rsidR="007C5A51" w:rsidRDefault="007C5A51" w:rsidP="007C5A51">
      <w:pPr>
        <w:pStyle w:val="Bibliography"/>
      </w:pPr>
      <w:r>
        <w:t xml:space="preserve">70. </w:t>
      </w:r>
      <w:r>
        <w:tab/>
        <w:t xml:space="preserve">Baumgartner HR, Tschopp TB, Weiss HJ. Platelet interaction with collagen fibrils in flowing blood. II. Impaired adhesion aggregation in bleeding disorders. A comparison with subendothelium. </w:t>
      </w:r>
      <w:r>
        <w:rPr>
          <w:i/>
          <w:iCs/>
        </w:rPr>
        <w:t>Thrombosis and Haemostasis</w:t>
      </w:r>
      <w:r>
        <w:t>. Published online 1977. doi:10.1055/s-0038-1649197</w:t>
      </w:r>
    </w:p>
    <w:p w14:paraId="29131E18" w14:textId="77777777" w:rsidR="007C5A51" w:rsidRDefault="007C5A51" w:rsidP="007C5A51">
      <w:pPr>
        <w:pStyle w:val="Bibliography"/>
      </w:pPr>
      <w:r>
        <w:t xml:space="preserve">71. </w:t>
      </w:r>
      <w:r>
        <w:tab/>
        <w:t xml:space="preserve">Larrabee WF, Lanier BJ, Miekle D. Effect of epinephrine on local cutaneous blood flow. </w:t>
      </w:r>
      <w:r>
        <w:rPr>
          <w:i/>
          <w:iCs/>
        </w:rPr>
        <w:t>Head &amp; Neck Surgery</w:t>
      </w:r>
      <w:r>
        <w:t>. 1987;9(5):287-289. doi:10.1002/hed.2890090507</w:t>
      </w:r>
    </w:p>
    <w:p w14:paraId="5D76417A" w14:textId="77777777" w:rsidR="007C5A51" w:rsidRDefault="007C5A51" w:rsidP="007C5A51">
      <w:pPr>
        <w:pStyle w:val="Bibliography"/>
      </w:pPr>
      <w:r>
        <w:t xml:space="preserve">72. </w:t>
      </w:r>
      <w:r>
        <w:tab/>
        <w:t xml:space="preserve">Rickles FR, Patierno S, Fernandez PM. Tissue factor, thrombin, and cancer. </w:t>
      </w:r>
      <w:r>
        <w:rPr>
          <w:i/>
          <w:iCs/>
        </w:rPr>
        <w:t>Chest</w:t>
      </w:r>
      <w:r>
        <w:t>. Published online 2003. doi:10.1378/chest.124.3_suppl.58S</w:t>
      </w:r>
    </w:p>
    <w:p w14:paraId="1CBADF75" w14:textId="77777777" w:rsidR="007C5A51" w:rsidRDefault="007C5A51" w:rsidP="007C5A51">
      <w:pPr>
        <w:pStyle w:val="Bibliography"/>
      </w:pPr>
      <w:r>
        <w:t xml:space="preserve">73. </w:t>
      </w:r>
      <w:r>
        <w:tab/>
        <w:t xml:space="preserve">Hawkey C. COX-2 inhibitors. </w:t>
      </w:r>
      <w:r>
        <w:rPr>
          <w:i/>
          <w:iCs/>
        </w:rPr>
        <w:t>The Lancet</w:t>
      </w:r>
      <w:r>
        <w:t>. 1999;353(9149):307-314. doi:10.1016/S0140-6736(98)12154-2</w:t>
      </w:r>
    </w:p>
    <w:p w14:paraId="481B41D4" w14:textId="77777777" w:rsidR="007C5A51" w:rsidRDefault="007C5A51" w:rsidP="007C5A51">
      <w:pPr>
        <w:pStyle w:val="Bibliography"/>
      </w:pPr>
      <w:r>
        <w:t xml:space="preserve">74. </w:t>
      </w:r>
      <w:r>
        <w:tab/>
        <w:t xml:space="preserve">Li J, Chen J, Kirsner R. Pathophysiology of acute wound healing. </w:t>
      </w:r>
      <w:r>
        <w:rPr>
          <w:i/>
          <w:iCs/>
        </w:rPr>
        <w:t>Clinics in Dermatology</w:t>
      </w:r>
      <w:r>
        <w:t>. Published online 2007. doi:10.1016/j.clindermatol.2006.09.007</w:t>
      </w:r>
    </w:p>
    <w:p w14:paraId="58B92FF1" w14:textId="77777777" w:rsidR="007C5A51" w:rsidRDefault="007C5A51" w:rsidP="007C5A51">
      <w:pPr>
        <w:pStyle w:val="Bibliography"/>
      </w:pPr>
      <w:r>
        <w:t xml:space="preserve">75. </w:t>
      </w:r>
      <w:r>
        <w:tab/>
        <w:t>Ng MFY. The role of mast cells in wound healing. 2010;7(1):55-61.</w:t>
      </w:r>
    </w:p>
    <w:p w14:paraId="537106CB" w14:textId="77777777" w:rsidR="007C5A51" w:rsidRDefault="007C5A51" w:rsidP="007C5A51">
      <w:pPr>
        <w:pStyle w:val="Bibliography"/>
      </w:pPr>
      <w:r>
        <w:t xml:space="preserve">76. </w:t>
      </w:r>
      <w:r>
        <w:tab/>
        <w:t xml:space="preserve">Velnar T, Bailey T, Smrkolj V. The wound healing process: An overview of the cellular and molecular mechanisms. </w:t>
      </w:r>
      <w:r>
        <w:rPr>
          <w:i/>
          <w:iCs/>
        </w:rPr>
        <w:t>Journal of International Medical Research</w:t>
      </w:r>
      <w:r>
        <w:t>. Published online 2009. doi:10.1177/147323000903700531</w:t>
      </w:r>
    </w:p>
    <w:p w14:paraId="321E7635" w14:textId="77777777" w:rsidR="007C5A51" w:rsidRDefault="007C5A51" w:rsidP="007C5A51">
      <w:pPr>
        <w:pStyle w:val="Bibliography"/>
      </w:pPr>
      <w:r>
        <w:t xml:space="preserve">77. </w:t>
      </w:r>
      <w:r>
        <w:tab/>
        <w:t xml:space="preserve">Beldon P. Basic science of wound healing. </w:t>
      </w:r>
      <w:r>
        <w:rPr>
          <w:i/>
          <w:iCs/>
        </w:rPr>
        <w:t>Surgery</w:t>
      </w:r>
      <w:r>
        <w:t>. 2010;28(9):409-412. doi:10.1016/j.mpsur.2010.05.007</w:t>
      </w:r>
    </w:p>
    <w:p w14:paraId="55A9AEA3" w14:textId="77777777" w:rsidR="007C5A51" w:rsidRDefault="007C5A51" w:rsidP="007C5A51">
      <w:pPr>
        <w:pStyle w:val="Bibliography"/>
      </w:pPr>
      <w:r>
        <w:t xml:space="preserve">78. </w:t>
      </w:r>
      <w:r>
        <w:tab/>
        <w:t xml:space="preserve">Kirsner RS, Eaglstein WH. The wound healing process. </w:t>
      </w:r>
      <w:r>
        <w:rPr>
          <w:i/>
          <w:iCs/>
        </w:rPr>
        <w:t>Dermatologic Clinics</w:t>
      </w:r>
      <w:r>
        <w:t>. Published online 1993. doi:10.1016/0738-081X(84)90022-1</w:t>
      </w:r>
    </w:p>
    <w:p w14:paraId="699D85D1" w14:textId="77777777" w:rsidR="007C5A51" w:rsidRDefault="007C5A51" w:rsidP="007C5A51">
      <w:pPr>
        <w:pStyle w:val="Bibliography"/>
      </w:pPr>
      <w:r>
        <w:t xml:space="preserve">79. </w:t>
      </w:r>
      <w:r>
        <w:tab/>
        <w:t xml:space="preserve">Clark RA, Nielsen LD, Welch MP, McPherson JM. Collagen matrices attenuate the collagen-synthetic response of cultured fibroblasts to TGF-beta. </w:t>
      </w:r>
      <w:r>
        <w:rPr>
          <w:i/>
          <w:iCs/>
        </w:rPr>
        <w:t>Journal of cell science</w:t>
      </w:r>
      <w:r>
        <w:t>. Published online 1995.</w:t>
      </w:r>
    </w:p>
    <w:p w14:paraId="5B23A4A0" w14:textId="77777777" w:rsidR="007C5A51" w:rsidRDefault="007C5A51" w:rsidP="007C5A51">
      <w:pPr>
        <w:pStyle w:val="Bibliography"/>
      </w:pPr>
      <w:r>
        <w:t xml:space="preserve">80. </w:t>
      </w:r>
      <w:r>
        <w:tab/>
        <w:t xml:space="preserve">Schreml S, Szeimies RM, Prantl L, Landthaler M, Babilas P. Wound healing in the 21st century. </w:t>
      </w:r>
      <w:r>
        <w:rPr>
          <w:i/>
          <w:iCs/>
        </w:rPr>
        <w:t>Journal of American Dermatology</w:t>
      </w:r>
      <w:r>
        <w:t>. 2010;63:866-881. doi:10.1016/j.jaad.2009.10.048</w:t>
      </w:r>
    </w:p>
    <w:p w14:paraId="016F7814" w14:textId="77777777" w:rsidR="007C5A51" w:rsidRDefault="007C5A51" w:rsidP="007C5A51">
      <w:pPr>
        <w:pStyle w:val="Bibliography"/>
      </w:pPr>
      <w:r>
        <w:t xml:space="preserve">81. </w:t>
      </w:r>
      <w:r>
        <w:tab/>
        <w:t xml:space="preserve">Seifert AW, Maden M. New insights into vertebrate skin regeneration. </w:t>
      </w:r>
      <w:r>
        <w:rPr>
          <w:i/>
          <w:iCs/>
        </w:rPr>
        <w:t>International review of cell and molecular biology</w:t>
      </w:r>
      <w:r>
        <w:t>. 2014;310:129-169.</w:t>
      </w:r>
    </w:p>
    <w:p w14:paraId="2C5E4499" w14:textId="77777777" w:rsidR="007C5A51" w:rsidRDefault="007C5A51" w:rsidP="007C5A51">
      <w:pPr>
        <w:pStyle w:val="Bibliography"/>
      </w:pPr>
      <w:r>
        <w:t xml:space="preserve">82. </w:t>
      </w:r>
      <w:r>
        <w:tab/>
        <w:t xml:space="preserve">Hopf HW, Kelly M, Shapshak D. Oxygen and the basic mechanisms of wound healing. In: </w:t>
      </w:r>
      <w:r>
        <w:rPr>
          <w:i/>
          <w:iCs/>
        </w:rPr>
        <w:t>Physiology and Medicine of Hyperbaric Oxygen Therapy</w:t>
      </w:r>
      <w:r>
        <w:t>. Saunders; 2008:203-228.</w:t>
      </w:r>
    </w:p>
    <w:p w14:paraId="377A774D" w14:textId="77777777" w:rsidR="007C5A51" w:rsidRDefault="007C5A51" w:rsidP="007C5A51">
      <w:pPr>
        <w:pStyle w:val="Bibliography"/>
      </w:pPr>
      <w:r>
        <w:t xml:space="preserve">83. </w:t>
      </w:r>
      <w:r>
        <w:tab/>
        <w:t xml:space="preserve">Caley MP, Martins VLC, O’Toole EA. Metalloproteinases and Wound Healing. </w:t>
      </w:r>
      <w:r>
        <w:rPr>
          <w:i/>
          <w:iCs/>
        </w:rPr>
        <w:t>Advances in Wound Care</w:t>
      </w:r>
      <w:r>
        <w:t>. Published online 2015. doi:10.1089/wound.2014.0581</w:t>
      </w:r>
    </w:p>
    <w:p w14:paraId="703FA285" w14:textId="77777777" w:rsidR="007C5A51" w:rsidRDefault="007C5A51" w:rsidP="007C5A51">
      <w:pPr>
        <w:pStyle w:val="Bibliography"/>
      </w:pPr>
      <w:r>
        <w:t xml:space="preserve">84. </w:t>
      </w:r>
      <w:r>
        <w:tab/>
        <w:t xml:space="preserve">Montes GS. Structural biology of the fibres of the collagenous and elastic systems. </w:t>
      </w:r>
      <w:r>
        <w:rPr>
          <w:i/>
          <w:iCs/>
        </w:rPr>
        <w:t>Cell Biology International</w:t>
      </w:r>
      <w:r>
        <w:t>. Published online 1996. doi:10.1006/cbir.1996.0004</w:t>
      </w:r>
    </w:p>
    <w:p w14:paraId="544AACDF" w14:textId="77777777" w:rsidR="007C5A51" w:rsidRDefault="007C5A51" w:rsidP="007C5A51">
      <w:pPr>
        <w:pStyle w:val="Bibliography"/>
      </w:pPr>
      <w:r>
        <w:t xml:space="preserve">85. </w:t>
      </w:r>
      <w:r>
        <w:tab/>
        <w:t xml:space="preserve">Lapiere CM, Nusgens B, Pierard GE. Interaction between collagen type I and type III in conditioning bundles organization. </w:t>
      </w:r>
      <w:r>
        <w:rPr>
          <w:i/>
          <w:iCs/>
        </w:rPr>
        <w:t>Connective Tissue Research</w:t>
      </w:r>
      <w:r>
        <w:t>. Published online 1977. doi:10.3109/03008207709152608</w:t>
      </w:r>
    </w:p>
    <w:p w14:paraId="4FD6B7DC" w14:textId="77777777" w:rsidR="007C5A51" w:rsidRDefault="007C5A51" w:rsidP="007C5A51">
      <w:pPr>
        <w:pStyle w:val="Bibliography"/>
      </w:pPr>
      <w:r>
        <w:t xml:space="preserve">86. </w:t>
      </w:r>
      <w:r>
        <w:tab/>
        <w:t xml:space="preserve">Verdolini K, Rosen CA, Branski RC, Hebda PA. Shifts in biochemical markers associated with wound healing in laryngeal secretions following phonotrauma: A preliminary study. </w:t>
      </w:r>
      <w:r>
        <w:rPr>
          <w:i/>
          <w:iCs/>
        </w:rPr>
        <w:t>Annals of Otology, Rhinology and Laryngology</w:t>
      </w:r>
      <w:r>
        <w:t>. Published online 2003. doi:10.1177/000348940311201205</w:t>
      </w:r>
    </w:p>
    <w:p w14:paraId="7B584C62" w14:textId="77777777" w:rsidR="007C5A51" w:rsidRDefault="007C5A51" w:rsidP="007C5A51">
      <w:pPr>
        <w:pStyle w:val="Bibliography"/>
      </w:pPr>
      <w:r>
        <w:t xml:space="preserve">87. </w:t>
      </w:r>
      <w:r>
        <w:tab/>
        <w:t xml:space="preserve">Lim X, Tateya I, Tateya T, Muñoz-Del-Río A, Bless DM. Immediate inflammatory response and scar formation in wounded vocal folds. </w:t>
      </w:r>
      <w:r>
        <w:rPr>
          <w:i/>
          <w:iCs/>
        </w:rPr>
        <w:t>Annals of Otology, Rhinology and Laryngology</w:t>
      </w:r>
      <w:r>
        <w:t>. Published online 2006. doi:10.1177/000348940611501212</w:t>
      </w:r>
    </w:p>
    <w:p w14:paraId="0577472A" w14:textId="77777777" w:rsidR="007C5A51" w:rsidRDefault="007C5A51" w:rsidP="007C5A51">
      <w:pPr>
        <w:pStyle w:val="Bibliography"/>
      </w:pPr>
      <w:r>
        <w:t xml:space="preserve">88. </w:t>
      </w:r>
      <w:r>
        <w:tab/>
        <w:t xml:space="preserve">Welham NV, Lim X, Tateya I, Bless DM. Inflammatory factor profiles one hour following vocal fold injury. </w:t>
      </w:r>
      <w:r>
        <w:rPr>
          <w:i/>
          <w:iCs/>
        </w:rPr>
        <w:t>Annals of Otology, Rhinology and Laryngology</w:t>
      </w:r>
      <w:r>
        <w:t>. 2008;117(2):145-152. doi:10.1177/000348940811700213</w:t>
      </w:r>
    </w:p>
    <w:p w14:paraId="4BF1B79A" w14:textId="77777777" w:rsidR="007C5A51" w:rsidRDefault="007C5A51" w:rsidP="007C5A51">
      <w:pPr>
        <w:pStyle w:val="Bibliography"/>
      </w:pPr>
      <w:r>
        <w:t xml:space="preserve">89. </w:t>
      </w:r>
      <w:r>
        <w:tab/>
        <w:t xml:space="preserve">Tateya T, Tateya I, Sohn JH, Bless DM. Histological study of acute vocal fold injury in a rat model. </w:t>
      </w:r>
      <w:r>
        <w:rPr>
          <w:i/>
          <w:iCs/>
        </w:rPr>
        <w:t>Annals of Otology, Rhinology and Laryngology</w:t>
      </w:r>
      <w:r>
        <w:t>. Published online 2006. doi:10.1177/000348940611500406</w:t>
      </w:r>
    </w:p>
    <w:p w14:paraId="131D6245" w14:textId="77777777" w:rsidR="007C5A51" w:rsidRDefault="007C5A51" w:rsidP="007C5A51">
      <w:pPr>
        <w:pStyle w:val="Bibliography"/>
      </w:pPr>
      <w:r>
        <w:t xml:space="preserve">90. </w:t>
      </w:r>
      <w:r>
        <w:tab/>
        <w:t xml:space="preserve">Rousseau B, Ge PJ, Ohno T, French LC, Thibeault SL. Extracellular matrix gene expression after vocal fold injury in a rabbit model. </w:t>
      </w:r>
      <w:r>
        <w:rPr>
          <w:i/>
          <w:iCs/>
        </w:rPr>
        <w:t>Annals of Otology, Rhinology and Laryngology</w:t>
      </w:r>
      <w:r>
        <w:t>. 2008;117(8):598-603. doi:10.1177/000348940811700809</w:t>
      </w:r>
    </w:p>
    <w:p w14:paraId="694FA3F1" w14:textId="77777777" w:rsidR="007C5A51" w:rsidRDefault="007C5A51" w:rsidP="007C5A51">
      <w:pPr>
        <w:pStyle w:val="Bibliography"/>
      </w:pPr>
      <w:r>
        <w:t xml:space="preserve">91. </w:t>
      </w:r>
      <w:r>
        <w:tab/>
        <w:t xml:space="preserve">Rousseau B, Ge P, French LC, Zealear DL, Thibeault SL, Ossoff RH. Experimentally induced phonation increases matrix metalloproteinase-1 gene expression in normal rabbit vocal fold. </w:t>
      </w:r>
      <w:r>
        <w:rPr>
          <w:i/>
          <w:iCs/>
        </w:rPr>
        <w:t>Otolaryngology—Head and Neck Surgery</w:t>
      </w:r>
      <w:r>
        <w:t>. 2008;138(1):62-68. doi:10.1016/j.otohns.2007.10.024</w:t>
      </w:r>
    </w:p>
    <w:p w14:paraId="2F513B34" w14:textId="77777777" w:rsidR="007C5A51" w:rsidRDefault="007C5A51" w:rsidP="007C5A51">
      <w:pPr>
        <w:pStyle w:val="Bibliography"/>
      </w:pPr>
      <w:r>
        <w:t xml:space="preserve">92. </w:t>
      </w:r>
      <w:r>
        <w:tab/>
        <w:t xml:space="preserve">Rousseau B, Suehiro A, Echemendia N, Sivasankar M. Raised intensity phonation compromises vocal fold epithelial barrier integrity. </w:t>
      </w:r>
      <w:r>
        <w:rPr>
          <w:i/>
          <w:iCs/>
        </w:rPr>
        <w:t>Laryngoscope</w:t>
      </w:r>
      <w:r>
        <w:t>. Published online 2011. doi:10.1002/lary.21364</w:t>
      </w:r>
    </w:p>
    <w:p w14:paraId="5A590DE2" w14:textId="77777777" w:rsidR="007C5A51" w:rsidRDefault="007C5A51" w:rsidP="007C5A51">
      <w:pPr>
        <w:pStyle w:val="Bibliography"/>
      </w:pPr>
      <w:r>
        <w:t xml:space="preserve">93. </w:t>
      </w:r>
      <w:r>
        <w:tab/>
        <w:t xml:space="preserve">Rousseau B, Kojima T, Novaleski CK, et al. Recovery of vocal fold epithelium after acute phonotrauma. </w:t>
      </w:r>
      <w:r>
        <w:rPr>
          <w:i/>
          <w:iCs/>
        </w:rPr>
        <w:t>Cells, tissues, organs</w:t>
      </w:r>
      <w:r>
        <w:t>. 2017;204(2):93-104. doi:10.1159/000472251</w:t>
      </w:r>
    </w:p>
    <w:p w14:paraId="257688B2" w14:textId="77777777" w:rsidR="007C5A51" w:rsidRDefault="007C5A51" w:rsidP="007C5A51">
      <w:pPr>
        <w:pStyle w:val="Bibliography"/>
      </w:pPr>
      <w:r>
        <w:t xml:space="preserve">94. </w:t>
      </w:r>
      <w:r>
        <w:tab/>
        <w:t xml:space="preserve">Kojima T, Valenzuela C V., Novaleski CK, et al. Effects of phonation time and magnitude dose on vocal fold epithelial genes, barrier integrity, and function. </w:t>
      </w:r>
      <w:r>
        <w:rPr>
          <w:i/>
          <w:iCs/>
        </w:rPr>
        <w:t>The Laryngoscope</w:t>
      </w:r>
      <w:r>
        <w:t>. 2014;124(12):2770-2778. doi:10.1002/lary.24827</w:t>
      </w:r>
    </w:p>
    <w:p w14:paraId="4F66D63A" w14:textId="77777777" w:rsidR="007C5A51" w:rsidRDefault="007C5A51" w:rsidP="007C5A51">
      <w:pPr>
        <w:pStyle w:val="Bibliography"/>
      </w:pPr>
      <w:r>
        <w:t xml:space="preserve">95. </w:t>
      </w:r>
      <w:r>
        <w:tab/>
        <w:t xml:space="preserve">Branski RC, Verdolini K, Rosen CA, Hebda PA. Acute vocal fold wound healing in a rabbit model. </w:t>
      </w:r>
      <w:r>
        <w:rPr>
          <w:i/>
          <w:iCs/>
        </w:rPr>
        <w:t>Annals of Otology, Rhinology and Laryngology</w:t>
      </w:r>
      <w:r>
        <w:t>. 2005;114(1):19-24. doi:10.1177/000348940511400105</w:t>
      </w:r>
    </w:p>
    <w:p w14:paraId="37354670" w14:textId="77777777" w:rsidR="007C5A51" w:rsidRDefault="007C5A51" w:rsidP="007C5A51">
      <w:pPr>
        <w:pStyle w:val="Bibliography"/>
      </w:pPr>
      <w:r>
        <w:t xml:space="preserve">96. </w:t>
      </w:r>
      <w:r>
        <w:tab/>
        <w:t xml:space="preserve">Tateya T, Sohn JH, Tateya I, Bless DM. Histologic characterization of rat vocal fold scarring. </w:t>
      </w:r>
      <w:r>
        <w:rPr>
          <w:i/>
          <w:iCs/>
        </w:rPr>
        <w:t>Annals of Otology, Rhinology &amp; Laryngology</w:t>
      </w:r>
      <w:r>
        <w:t>. 2005;114(3):183-191.</w:t>
      </w:r>
    </w:p>
    <w:p w14:paraId="11DC0896" w14:textId="77777777" w:rsidR="007C5A51" w:rsidRDefault="007C5A51" w:rsidP="007C5A51">
      <w:pPr>
        <w:pStyle w:val="Bibliography"/>
      </w:pPr>
      <w:r>
        <w:t xml:space="preserve">97. </w:t>
      </w:r>
      <w:r>
        <w:tab/>
        <w:t xml:space="preserve">Rousseau B, Sohn J, Tateya I, Montequin DW, Bless DM. Functional outcomes of reduced hyaluronan in acute vocal fold scar. </w:t>
      </w:r>
      <w:r>
        <w:rPr>
          <w:i/>
          <w:iCs/>
        </w:rPr>
        <w:t>Annals of Otology, Rhinology and Laryngology</w:t>
      </w:r>
      <w:r>
        <w:t>. 2004;113(10):767-776. doi:10.1177/000348940411301001</w:t>
      </w:r>
    </w:p>
    <w:p w14:paraId="41422A6C" w14:textId="77777777" w:rsidR="007C5A51" w:rsidRDefault="007C5A51" w:rsidP="007C5A51">
      <w:pPr>
        <w:pStyle w:val="Bibliography"/>
      </w:pPr>
      <w:r>
        <w:t xml:space="preserve">98. </w:t>
      </w:r>
      <w:r>
        <w:tab/>
        <w:t xml:space="preserve">Thibeault SL, Rousseau B, Welham NV, Hirano S, Bless DM. </w:t>
      </w:r>
      <w:r>
        <w:rPr>
          <w:i/>
          <w:iCs/>
        </w:rPr>
        <w:t>Hyaluronan Levels in Acute Vocal Fold Scar</w:t>
      </w:r>
      <w:r>
        <w:t>.; 2004. https://onlinelibrary.wiley.com/doi/pdf/10.1097/00005537-200404000-00031</w:t>
      </w:r>
    </w:p>
    <w:p w14:paraId="22625976" w14:textId="77777777" w:rsidR="007C5A51" w:rsidRDefault="007C5A51" w:rsidP="007C5A51">
      <w:pPr>
        <w:pStyle w:val="Bibliography"/>
      </w:pPr>
      <w:r>
        <w:t xml:space="preserve">99. </w:t>
      </w:r>
      <w:r>
        <w:tab/>
        <w:t xml:space="preserve">Thibeault SL, Gray SD, Bless DM, Chan RW, Ford CN. Histologic and rheologic characterization of vocal fold scarring. </w:t>
      </w:r>
      <w:r>
        <w:rPr>
          <w:i/>
          <w:iCs/>
        </w:rPr>
        <w:t>Journal of Voice</w:t>
      </w:r>
      <w:r>
        <w:t>. 2002;16(1):96-104. doi:10.1016/S0892-1997(02)00078-4</w:t>
      </w:r>
    </w:p>
    <w:p w14:paraId="320ED0BF" w14:textId="77777777" w:rsidR="007C5A51" w:rsidRDefault="007C5A51" w:rsidP="007C5A51">
      <w:pPr>
        <w:pStyle w:val="Bibliography"/>
      </w:pPr>
      <w:r>
        <w:t xml:space="preserve">100. </w:t>
      </w:r>
      <w:r>
        <w:tab/>
        <w:t xml:space="preserve">Rousseau B, Hirano S, Scheidt TD, et al. Characterization of vocal fold scarring in a canine model. </w:t>
      </w:r>
      <w:r>
        <w:rPr>
          <w:i/>
          <w:iCs/>
        </w:rPr>
        <w:t>Laryngoscope</w:t>
      </w:r>
      <w:r>
        <w:t>. 2003;113(4):620-627. doi:10.1097/00005537-200304000-00007</w:t>
      </w:r>
    </w:p>
    <w:p w14:paraId="7D6AF0CC" w14:textId="77777777" w:rsidR="007C5A51" w:rsidRDefault="007C5A51" w:rsidP="007C5A51">
      <w:pPr>
        <w:pStyle w:val="Bibliography"/>
      </w:pPr>
      <w:r>
        <w:t xml:space="preserve">101. </w:t>
      </w:r>
      <w:r>
        <w:tab/>
        <w:t xml:space="preserve">Rousseau B, Hirano S, Chan RW, et al. Characterization of chronic vocal fold scarringin a rabbit model. </w:t>
      </w:r>
      <w:r>
        <w:rPr>
          <w:i/>
          <w:iCs/>
        </w:rPr>
        <w:t>Journal of Voice</w:t>
      </w:r>
      <w:r>
        <w:t>. 2004;18(1):116-124. doi:10.1016/j.jvoice.2003.06.001</w:t>
      </w:r>
    </w:p>
    <w:p w14:paraId="0AA4B1E8" w14:textId="77777777" w:rsidR="007C5A51" w:rsidRDefault="007C5A51" w:rsidP="007C5A51">
      <w:pPr>
        <w:pStyle w:val="Bibliography"/>
      </w:pPr>
      <w:r>
        <w:t xml:space="preserve">102. </w:t>
      </w:r>
      <w:r>
        <w:tab/>
        <w:t xml:space="preserve">Kotby M, Nassar A, Seif E, Helal E, Saleh M. Ultrastructural features of vocal fold nodules and polyps. </w:t>
      </w:r>
      <w:r>
        <w:rPr>
          <w:i/>
          <w:iCs/>
        </w:rPr>
        <w:t>Acta Oto-Laryngologica</w:t>
      </w:r>
      <w:r>
        <w:t>. 1988;105(5-6):477-482.</w:t>
      </w:r>
    </w:p>
    <w:p w14:paraId="6B49C50E" w14:textId="77777777" w:rsidR="007C5A51" w:rsidRDefault="007C5A51" w:rsidP="007C5A51">
      <w:pPr>
        <w:pStyle w:val="Bibliography"/>
      </w:pPr>
      <w:r>
        <w:t xml:space="preserve">103. </w:t>
      </w:r>
      <w:r>
        <w:tab/>
        <w:t xml:space="preserve">Courey MS, Scott MA, Shohet JA, Ossoff RH. Immunohistochemical characterization of benign laryngeal lesions. </w:t>
      </w:r>
      <w:r>
        <w:rPr>
          <w:i/>
          <w:iCs/>
        </w:rPr>
        <w:t>Annals of Otology, Rhinology &amp; Laryngology</w:t>
      </w:r>
      <w:r>
        <w:t>. 1996;105(7):525-531.</w:t>
      </w:r>
    </w:p>
    <w:p w14:paraId="081997A3" w14:textId="77777777" w:rsidR="007C5A51" w:rsidRDefault="007C5A51" w:rsidP="007C5A51">
      <w:pPr>
        <w:pStyle w:val="Bibliography"/>
      </w:pPr>
      <w:r>
        <w:t xml:space="preserve">104. </w:t>
      </w:r>
      <w:r>
        <w:tab/>
        <w:t xml:space="preserve">Çetinkaya F, Tüfekçi BS, Kutluk G. A comparison of nebulized budesonide, and intramuscular, and oral dexamethasone for treatment of croup. </w:t>
      </w:r>
      <w:r>
        <w:rPr>
          <w:i/>
          <w:iCs/>
        </w:rPr>
        <w:t>International Journal of Pediatric Otorhinolaryngology</w:t>
      </w:r>
      <w:r>
        <w:t>. 2004;68(4):453-456. doi:10.1016/J.IJPORL.2003.11.017</w:t>
      </w:r>
    </w:p>
    <w:p w14:paraId="58DAEAE8" w14:textId="77777777" w:rsidR="007C5A51" w:rsidRDefault="007C5A51" w:rsidP="007C5A51">
      <w:pPr>
        <w:pStyle w:val="Bibliography"/>
      </w:pPr>
      <w:r>
        <w:t xml:space="preserve">105. </w:t>
      </w:r>
      <w:r>
        <w:tab/>
        <w:t xml:space="preserve">Cruz MN, Stewart G, Rosenberg N. Use of dexamethasone in the outpatient management of acute laryngotracheitis. </w:t>
      </w:r>
      <w:r>
        <w:rPr>
          <w:i/>
          <w:iCs/>
        </w:rPr>
        <w:t>Pediatrics</w:t>
      </w:r>
      <w:r>
        <w:t>. 1995;96(2 Pt 1):220-223.</w:t>
      </w:r>
    </w:p>
    <w:p w14:paraId="6172A3F1" w14:textId="77777777" w:rsidR="007C5A51" w:rsidRDefault="007C5A51" w:rsidP="007C5A51">
      <w:pPr>
        <w:pStyle w:val="Bibliography"/>
      </w:pPr>
      <w:r>
        <w:t xml:space="preserve">106. </w:t>
      </w:r>
      <w:r>
        <w:tab/>
        <w:t xml:space="preserve">Rafii B, Sridharan S, Taliercio S, et al. Glucocorticoids in laryngology: A review. </w:t>
      </w:r>
      <w:r>
        <w:rPr>
          <w:i/>
          <w:iCs/>
        </w:rPr>
        <w:t>Laryngoscope</w:t>
      </w:r>
      <w:r>
        <w:t>. 2014;124(7):1668-1673. doi:10.1002/lary.24556</w:t>
      </w:r>
    </w:p>
    <w:p w14:paraId="06083058" w14:textId="77777777" w:rsidR="007C5A51" w:rsidRDefault="007C5A51" w:rsidP="007C5A51">
      <w:pPr>
        <w:pStyle w:val="Bibliography"/>
      </w:pPr>
      <w:r>
        <w:t xml:space="preserve">107. </w:t>
      </w:r>
      <w:r>
        <w:tab/>
        <w:t xml:space="preserve">Govil N, Rafii BY, Paul BC, Ruiz R, Amin MR, Branski RC. Glucocorticoids for vocal fold disease: A survey of otolaryngologists. </w:t>
      </w:r>
      <w:r>
        <w:rPr>
          <w:i/>
          <w:iCs/>
        </w:rPr>
        <w:t>Journal of Voice</w:t>
      </w:r>
      <w:r>
        <w:t>. Published online 2014. doi:10.1016/j.jvoice.2013.04.015</w:t>
      </w:r>
    </w:p>
    <w:p w14:paraId="033340A4" w14:textId="77777777" w:rsidR="007C5A51" w:rsidRDefault="007C5A51" w:rsidP="007C5A51">
      <w:pPr>
        <w:pStyle w:val="Bibliography"/>
      </w:pPr>
      <w:r>
        <w:t xml:space="preserve">108. </w:t>
      </w:r>
      <w:r>
        <w:tab/>
        <w:t xml:space="preserve">Mortensen M. Laryngeal steroid injection for vocal fold scar. </w:t>
      </w:r>
      <w:r>
        <w:rPr>
          <w:i/>
          <w:iCs/>
        </w:rPr>
        <w:t>Current Opinion in Otolaryngology and Head and Neck Surgery</w:t>
      </w:r>
      <w:r>
        <w:t>. 2010;18(6):487-491. doi:10.1097/MOO.0b013e32833fe112</w:t>
      </w:r>
    </w:p>
    <w:p w14:paraId="60438E8C" w14:textId="77777777" w:rsidR="007C5A51" w:rsidRDefault="007C5A51" w:rsidP="007C5A51">
      <w:pPr>
        <w:pStyle w:val="Bibliography"/>
      </w:pPr>
      <w:r>
        <w:t xml:space="preserve">109. </w:t>
      </w:r>
      <w:r>
        <w:tab/>
        <w:t xml:space="preserve">Woo JH, Kim DY, Kim JW, Oh EA, Lee SW. Efficacy of percutaneous vocal fold injections for benign laryngeal lesions: Prospective multicenter study. </w:t>
      </w:r>
      <w:r>
        <w:rPr>
          <w:i/>
          <w:iCs/>
        </w:rPr>
        <w:t>Acta Oto-Laryngologica</w:t>
      </w:r>
      <w:r>
        <w:t>. 2011;131(12):1326-1332. doi:10.3109/00016489.2011.620620</w:t>
      </w:r>
    </w:p>
    <w:p w14:paraId="1AC068D5" w14:textId="77777777" w:rsidR="007C5A51" w:rsidRDefault="007C5A51" w:rsidP="007C5A51">
      <w:pPr>
        <w:pStyle w:val="Bibliography"/>
      </w:pPr>
      <w:r>
        <w:t xml:space="preserve">110. </w:t>
      </w:r>
      <w:r>
        <w:tab/>
        <w:t xml:space="preserve">Tateya I, Omori K, Kojima H, Hirano S, Kaneko K, Ito J. Steroid injection for Reinke’s edema using fiberoptic laryngeal surgery. </w:t>
      </w:r>
      <w:r>
        <w:rPr>
          <w:i/>
          <w:iCs/>
        </w:rPr>
        <w:t>Acta Oto-Laryngologica</w:t>
      </w:r>
      <w:r>
        <w:t>. Published online 2003. doi:10.1080/00016480310001321</w:t>
      </w:r>
    </w:p>
    <w:p w14:paraId="628260EF" w14:textId="77777777" w:rsidR="007C5A51" w:rsidRDefault="007C5A51" w:rsidP="007C5A51">
      <w:pPr>
        <w:pStyle w:val="Bibliography"/>
      </w:pPr>
      <w:r>
        <w:t xml:space="preserve">111. </w:t>
      </w:r>
      <w:r>
        <w:tab/>
        <w:t xml:space="preserve">Tateya I, Omori K, Kojima H, Hirano S, Kaneko K ichi, Ito J. Steroid injection to vocal nodules using fiberoptic laryngeal surgery under topical anesthesia. </w:t>
      </w:r>
      <w:r>
        <w:rPr>
          <w:i/>
          <w:iCs/>
        </w:rPr>
        <w:t>European Archives of Oto-Rhino-Laryngology</w:t>
      </w:r>
      <w:r>
        <w:t>. 2004;261(9):489-492. doi:10.1007/s00405-003-0720-x</w:t>
      </w:r>
    </w:p>
    <w:p w14:paraId="3ECD9B73" w14:textId="77777777" w:rsidR="007C5A51" w:rsidRDefault="007C5A51" w:rsidP="007C5A51">
      <w:pPr>
        <w:pStyle w:val="Bibliography"/>
      </w:pPr>
      <w:r>
        <w:t xml:space="preserve">112. </w:t>
      </w:r>
      <w:r>
        <w:tab/>
        <w:t xml:space="preserve">Mortensen M, Woo P. Office steroid injections of the larynx. </w:t>
      </w:r>
      <w:r>
        <w:rPr>
          <w:i/>
          <w:iCs/>
        </w:rPr>
        <w:t>Laryngoscope</w:t>
      </w:r>
      <w:r>
        <w:t>. Published online 2006. doi:10.1097/01.mlg.0000231455.19183.8c</w:t>
      </w:r>
    </w:p>
    <w:p w14:paraId="70D15075" w14:textId="77777777" w:rsidR="007C5A51" w:rsidRDefault="007C5A51" w:rsidP="007C5A51">
      <w:pPr>
        <w:pStyle w:val="Bibliography"/>
      </w:pPr>
      <w:r>
        <w:t xml:space="preserve">113. </w:t>
      </w:r>
      <w:r>
        <w:tab/>
        <w:t xml:space="preserve">Lee SH, Yeo JO, Choi JI, et al. Local steroid injection via the cricothyroid membrane in patients with a vocal nodule. </w:t>
      </w:r>
      <w:r>
        <w:rPr>
          <w:i/>
          <w:iCs/>
        </w:rPr>
        <w:t>Archives of Otolaryngology - Head and Neck Surgery</w:t>
      </w:r>
      <w:r>
        <w:t>. Published online 2011. doi:10.1001/archoto.2011.168</w:t>
      </w:r>
    </w:p>
    <w:p w14:paraId="290895DC" w14:textId="77777777" w:rsidR="007C5A51" w:rsidRDefault="007C5A51" w:rsidP="007C5A51">
      <w:pPr>
        <w:pStyle w:val="Bibliography"/>
      </w:pPr>
      <w:r>
        <w:t xml:space="preserve">114. </w:t>
      </w:r>
      <w:r>
        <w:tab/>
        <w:t>Velden VHJ Van Der. Glucocorticoids : mechanisms of action and anti-inflammatory. 1998;237:229-237.</w:t>
      </w:r>
    </w:p>
    <w:p w14:paraId="4969EE6A" w14:textId="77777777" w:rsidR="007C5A51" w:rsidRDefault="007C5A51" w:rsidP="007C5A51">
      <w:pPr>
        <w:pStyle w:val="Bibliography"/>
      </w:pPr>
      <w:r>
        <w:t xml:space="preserve">115. </w:t>
      </w:r>
      <w:r>
        <w:tab/>
        <w:t xml:space="preserve">Barnes PJ, Adcock IM. How Do Corticosteroids Work in Asthma? </w:t>
      </w:r>
      <w:r>
        <w:rPr>
          <w:i/>
          <w:iCs/>
        </w:rPr>
        <w:t>Annals of Internal Medicine</w:t>
      </w:r>
      <w:r>
        <w:t>. Published online 2003. doi:10.7326/0003-4819-139-5_part_1-200309020-00012</w:t>
      </w:r>
    </w:p>
    <w:p w14:paraId="7FEC3C02" w14:textId="77777777" w:rsidR="007C5A51" w:rsidRDefault="007C5A51" w:rsidP="007C5A51">
      <w:pPr>
        <w:pStyle w:val="Bibliography"/>
      </w:pPr>
      <w:r>
        <w:t xml:space="preserve">116. </w:t>
      </w:r>
      <w:r>
        <w:tab/>
        <w:t xml:space="preserve">Grzanka A, Misiołek M, Golusiński W, Jarza̧b J. Molecular mechanisms of glucocorticoids action: Implications for treatment of rhinosinusitis and nasal polyposis. </w:t>
      </w:r>
      <w:r>
        <w:rPr>
          <w:i/>
          <w:iCs/>
        </w:rPr>
        <w:t>European Archives of Oto-Rhino-Laryngology</w:t>
      </w:r>
      <w:r>
        <w:t>. Published online 2011. doi:10.1007/s00405-010-1330-z</w:t>
      </w:r>
    </w:p>
    <w:p w14:paraId="24C72153" w14:textId="77777777" w:rsidR="007C5A51" w:rsidRDefault="007C5A51" w:rsidP="007C5A51">
      <w:pPr>
        <w:pStyle w:val="Bibliography"/>
      </w:pPr>
      <w:r>
        <w:t xml:space="preserve">117. </w:t>
      </w:r>
      <w:r>
        <w:tab/>
        <w:t xml:space="preserve">Wicke C, SW B, JM S, et al. Effects of steroids and retinoids on wound healing. </w:t>
      </w:r>
      <w:r>
        <w:rPr>
          <w:i/>
          <w:iCs/>
        </w:rPr>
        <w:t>Archives of Surgery</w:t>
      </w:r>
      <w:r>
        <w:t>. 2000;135(11):1265-1270. doi:10.1001/archsurg.135.11.1265</w:t>
      </w:r>
    </w:p>
    <w:p w14:paraId="065625BA" w14:textId="77777777" w:rsidR="007C5A51" w:rsidRDefault="007C5A51" w:rsidP="007C5A51">
      <w:pPr>
        <w:pStyle w:val="Bibliography"/>
      </w:pPr>
      <w:r>
        <w:t xml:space="preserve">118. </w:t>
      </w:r>
      <w:r>
        <w:tab/>
        <w:t xml:space="preserve">Ingle JW, Helou LB, Li NYK, Hebda PA, Rosen CA, Abbott K V. Role of steroids in acute phonotrauma: A basic science investigation. </w:t>
      </w:r>
      <w:r>
        <w:rPr>
          <w:i/>
          <w:iCs/>
        </w:rPr>
        <w:t>Laryngoscope</w:t>
      </w:r>
      <w:r>
        <w:t>. Published online 2014. doi:10.1002/lary.23691</w:t>
      </w:r>
    </w:p>
    <w:p w14:paraId="31F2095E" w14:textId="77777777" w:rsidR="007C5A51" w:rsidRDefault="007C5A51" w:rsidP="007C5A51">
      <w:pPr>
        <w:pStyle w:val="Bibliography"/>
      </w:pPr>
      <w:r>
        <w:t xml:space="preserve">119. </w:t>
      </w:r>
      <w:r>
        <w:tab/>
        <w:t xml:space="preserve">Gayo A, Mozo L, Suárez A, Tuñon A, Lahoz C, Gutiérrez C. Glucocorticoids increase IL-10 expression in multiple sclerosis patients with acute relapse. </w:t>
      </w:r>
      <w:r>
        <w:rPr>
          <w:i/>
          <w:iCs/>
        </w:rPr>
        <w:t>Journal of Neuroimmunology</w:t>
      </w:r>
      <w:r>
        <w:t>. 1998;85(2):122-130. doi:10.1016/S0165-5728(97)00262-2</w:t>
      </w:r>
    </w:p>
    <w:p w14:paraId="2D5E28DA" w14:textId="77777777" w:rsidR="007C5A51" w:rsidRDefault="007C5A51" w:rsidP="007C5A51">
      <w:pPr>
        <w:pStyle w:val="Bibliography"/>
      </w:pPr>
      <w:r>
        <w:t xml:space="preserve">120. </w:t>
      </w:r>
      <w:r>
        <w:tab/>
        <w:t xml:space="preserve">Rhen T, Cidlowski JA. Antiinflammatory action of glucocorticoids - New mechanisms for old drugs. </w:t>
      </w:r>
      <w:r>
        <w:rPr>
          <w:i/>
          <w:iCs/>
        </w:rPr>
        <w:t>New England Journal of Medicine</w:t>
      </w:r>
      <w:r>
        <w:t>. Published online 2005. doi:10.1056/NEJMra050541</w:t>
      </w:r>
    </w:p>
    <w:p w14:paraId="1051F489" w14:textId="77777777" w:rsidR="007C5A51" w:rsidRDefault="007C5A51" w:rsidP="007C5A51">
      <w:pPr>
        <w:pStyle w:val="Bibliography"/>
      </w:pPr>
      <w:r>
        <w:t xml:space="preserve">121. </w:t>
      </w:r>
      <w:r>
        <w:tab/>
        <w:t xml:space="preserve">Auphan N, DiDonato JA, Rosette C, Helmberg A, Karin M. Immunosuppression by glucocorticoids: Inhibition of NF-κB activity through induction of IκB synthesis. </w:t>
      </w:r>
      <w:r>
        <w:rPr>
          <w:i/>
          <w:iCs/>
        </w:rPr>
        <w:t>Science</w:t>
      </w:r>
      <w:r>
        <w:t>. Published online 1995. doi:10.1126/science.270.5234.286</w:t>
      </w:r>
    </w:p>
    <w:p w14:paraId="331EEE3B" w14:textId="77777777" w:rsidR="007C5A51" w:rsidRDefault="007C5A51" w:rsidP="007C5A51">
      <w:pPr>
        <w:pStyle w:val="Bibliography"/>
      </w:pPr>
      <w:r>
        <w:t xml:space="preserve">122. </w:t>
      </w:r>
      <w:r>
        <w:tab/>
        <w:t xml:space="preserve">Webster JI, Tonelli L, Sternberg EM. Neuroendocrine regulation of immunity. </w:t>
      </w:r>
      <w:r>
        <w:rPr>
          <w:i/>
          <w:iCs/>
        </w:rPr>
        <w:t>Annu Rev Immunol</w:t>
      </w:r>
      <w:r>
        <w:t>. 2002;20:125-163. doi:10.1146/annurev.immunol.20.082401.104914</w:t>
      </w:r>
    </w:p>
    <w:p w14:paraId="44A62BB2" w14:textId="77777777" w:rsidR="007C5A51" w:rsidRDefault="007C5A51" w:rsidP="007C5A51">
      <w:pPr>
        <w:pStyle w:val="Bibliography"/>
      </w:pPr>
      <w:r>
        <w:t xml:space="preserve">123. </w:t>
      </w:r>
      <w:r>
        <w:tab/>
        <w:t xml:space="preserve">Barnes PJ. How corticosteroids control inflammation: Quintiles Prize Lecture 2005. </w:t>
      </w:r>
      <w:r>
        <w:rPr>
          <w:i/>
          <w:iCs/>
        </w:rPr>
        <w:t>British Journal of Pharmacology</w:t>
      </w:r>
      <w:r>
        <w:t>. 2006;148(3):245-254. doi:10.1038/sj.bjp.0706736</w:t>
      </w:r>
    </w:p>
    <w:p w14:paraId="35E71279" w14:textId="77777777" w:rsidR="007C5A51" w:rsidRDefault="007C5A51" w:rsidP="007C5A51">
      <w:pPr>
        <w:pStyle w:val="Bibliography"/>
      </w:pPr>
      <w:r>
        <w:t xml:space="preserve">124. </w:t>
      </w:r>
      <w:r>
        <w:tab/>
        <w:t xml:space="preserve">McKay LI, Cidlowski JA. Molecular control of immune/inflammatory responses: Interactions between nuclear factor-κB and steroid receptor-signaling pathways. </w:t>
      </w:r>
      <w:r>
        <w:rPr>
          <w:i/>
          <w:iCs/>
        </w:rPr>
        <w:t>Endocrine Reviews</w:t>
      </w:r>
      <w:r>
        <w:t>. Published online 1999. doi:10.1210/er.20.4.435</w:t>
      </w:r>
    </w:p>
    <w:p w14:paraId="7CBC7861" w14:textId="77777777" w:rsidR="007C5A51" w:rsidRDefault="007C5A51" w:rsidP="007C5A51">
      <w:pPr>
        <w:pStyle w:val="Bibliography"/>
      </w:pPr>
      <w:r>
        <w:t xml:space="preserve">125. </w:t>
      </w:r>
      <w:r>
        <w:tab/>
        <w:t xml:space="preserve">Cato ACB, Wade E. Molecular mechanisms of anti-inflammatory action of glucocorticoids. </w:t>
      </w:r>
      <w:r>
        <w:rPr>
          <w:i/>
          <w:iCs/>
        </w:rPr>
        <w:t>BioEssays</w:t>
      </w:r>
      <w:r>
        <w:t>. 1996;18(5):371-378. doi:10.1002/bies.950180507</w:t>
      </w:r>
    </w:p>
    <w:p w14:paraId="65632BEE" w14:textId="77777777" w:rsidR="007C5A51" w:rsidRDefault="007C5A51" w:rsidP="007C5A51">
      <w:pPr>
        <w:pStyle w:val="Bibliography"/>
      </w:pPr>
      <w:r>
        <w:t xml:space="preserve">126. </w:t>
      </w:r>
      <w:r>
        <w:tab/>
        <w:t xml:space="preserve">Scheinman RI, Gualberto A, Jewell CM, Cidlowski JA, Baldwin AS. Characterization of mechanisms involved in transrepression of NF-KB by activated glucocorticoid receptors. </w:t>
      </w:r>
      <w:r>
        <w:rPr>
          <w:i/>
          <w:iCs/>
        </w:rPr>
        <w:t>Pneumologie</w:t>
      </w:r>
      <w:r>
        <w:t>. Published online 1997.</w:t>
      </w:r>
    </w:p>
    <w:p w14:paraId="28992BB2" w14:textId="77777777" w:rsidR="007C5A51" w:rsidRDefault="007C5A51" w:rsidP="007C5A51">
      <w:pPr>
        <w:pStyle w:val="Bibliography"/>
      </w:pPr>
      <w:r>
        <w:t xml:space="preserve">127. </w:t>
      </w:r>
      <w:r>
        <w:tab/>
        <w:t xml:space="preserve">Buttgereit F, Burmester GR, Brand MD. Bioenergetics of immune functions: Fundamental and therapeutic aspects. </w:t>
      </w:r>
      <w:r>
        <w:rPr>
          <w:i/>
          <w:iCs/>
        </w:rPr>
        <w:t>Immunology Today</w:t>
      </w:r>
      <w:r>
        <w:t>. Published online 2000.</w:t>
      </w:r>
    </w:p>
    <w:p w14:paraId="172E042A" w14:textId="77777777" w:rsidR="007C5A51" w:rsidRDefault="007C5A51" w:rsidP="007C5A51">
      <w:pPr>
        <w:pStyle w:val="Bibliography"/>
      </w:pPr>
      <w:r>
        <w:t xml:space="preserve">128. </w:t>
      </w:r>
      <w:r>
        <w:tab/>
        <w:t xml:space="preserve">Du J, Wang Y, Hunter R, et al. Dynamic regulation of mitochondrial function by glucocorticoids. </w:t>
      </w:r>
      <w:r>
        <w:rPr>
          <w:i/>
          <w:iCs/>
        </w:rPr>
        <w:t>Proceedings of the National Academy of Sciences of the United States of America</w:t>
      </w:r>
      <w:r>
        <w:t>. Published online 2009. doi:10.1073/pnas.0812671106</w:t>
      </w:r>
    </w:p>
    <w:p w14:paraId="5B627115" w14:textId="77777777" w:rsidR="007C5A51" w:rsidRDefault="007C5A51" w:rsidP="007C5A51">
      <w:pPr>
        <w:pStyle w:val="Bibliography"/>
      </w:pPr>
      <w:r>
        <w:t xml:space="preserve">129. </w:t>
      </w:r>
      <w:r>
        <w:tab/>
        <w:t xml:space="preserve">Stahn C, Buttgereit F. Genomic and nongenomic effects of glucocorticoids. </w:t>
      </w:r>
      <w:r>
        <w:rPr>
          <w:i/>
          <w:iCs/>
        </w:rPr>
        <w:t>Nature Clinical Practice Rheumatology</w:t>
      </w:r>
      <w:r>
        <w:t>. 2008;4(10):525-533. doi:10.1038/ncprheum0898</w:t>
      </w:r>
    </w:p>
    <w:p w14:paraId="6A992AD0" w14:textId="77777777" w:rsidR="007C5A51" w:rsidRDefault="007C5A51" w:rsidP="007C5A51">
      <w:pPr>
        <w:pStyle w:val="Bibliography"/>
      </w:pPr>
      <w:r>
        <w:t xml:space="preserve">130. </w:t>
      </w:r>
      <w:r>
        <w:tab/>
        <w:t xml:space="preserve">Higgins AJ, Lees P. The acute inflammatory process, arachidonic acid metabolism and the mode of action of anti‐inflammatory drugs. </w:t>
      </w:r>
      <w:r>
        <w:rPr>
          <w:i/>
          <w:iCs/>
        </w:rPr>
        <w:t>Equine Veterinary Journal</w:t>
      </w:r>
      <w:r>
        <w:t>. Published online 1984. doi:10.1111/j.2042-3306.1984.tb01893.x</w:t>
      </w:r>
    </w:p>
    <w:p w14:paraId="110C54E4" w14:textId="77777777" w:rsidR="007C5A51" w:rsidRDefault="007C5A51" w:rsidP="007C5A51">
      <w:pPr>
        <w:pStyle w:val="Bibliography"/>
      </w:pPr>
      <w:r>
        <w:t xml:space="preserve">131. </w:t>
      </w:r>
      <w:r>
        <w:tab/>
        <w:t xml:space="preserve">Löwenberg M, Verhaar AP, Bilderbeek J, et al. Glucocorticoids cause rapid dissociation of a T-cell-receptor-associated protein complex containing LCK and FYN. </w:t>
      </w:r>
      <w:r>
        <w:rPr>
          <w:i/>
          <w:iCs/>
        </w:rPr>
        <w:t>EMBO reports</w:t>
      </w:r>
      <w:r>
        <w:t>. 2006;7(10):1023-1029. doi:10.1038/sj.embor.7400775</w:t>
      </w:r>
    </w:p>
    <w:p w14:paraId="212174D0" w14:textId="77777777" w:rsidR="007C5A51" w:rsidRDefault="007C5A51" w:rsidP="007C5A51">
      <w:pPr>
        <w:pStyle w:val="Bibliography"/>
      </w:pPr>
      <w:r>
        <w:t xml:space="preserve">132. </w:t>
      </w:r>
      <w:r>
        <w:tab/>
        <w:t xml:space="preserve">Smink JJ, Buchholz IM, Hamers N, et al. Short-term glucocorticoid treatment of piglets causes changes in growth plate morphology and angiogenesis. </w:t>
      </w:r>
      <w:r>
        <w:rPr>
          <w:i/>
          <w:iCs/>
        </w:rPr>
        <w:t>Osteoarthritis and Cartilage</w:t>
      </w:r>
      <w:r>
        <w:t>. 2003;11(12):864-871. doi:10.1016/S1063-4584(03)00187-0</w:t>
      </w:r>
    </w:p>
    <w:p w14:paraId="1B8B1C11" w14:textId="77777777" w:rsidR="007C5A51" w:rsidRDefault="007C5A51" w:rsidP="007C5A51">
      <w:pPr>
        <w:pStyle w:val="Bibliography"/>
      </w:pPr>
      <w:r>
        <w:t xml:space="preserve">133. </w:t>
      </w:r>
      <w:r>
        <w:tab/>
        <w:t xml:space="preserve">Lu Y, Yu Q, Guo W, Hao Y, Sun W, Cheng L. Effect of glucocorticoids on the function of microvascular endothelial cells in the human femoral head bone. </w:t>
      </w:r>
      <w:r>
        <w:rPr>
          <w:i/>
          <w:iCs/>
        </w:rPr>
        <w:t>Adv Clin Exp Med</w:t>
      </w:r>
      <w:r>
        <w:t>. 2020;29(3):345-353. doi:10.17219/acem/112602</w:t>
      </w:r>
    </w:p>
    <w:p w14:paraId="42C07D1C" w14:textId="77777777" w:rsidR="007C5A51" w:rsidRDefault="007C5A51" w:rsidP="007C5A51">
      <w:pPr>
        <w:pStyle w:val="Bibliography"/>
      </w:pPr>
      <w:r>
        <w:t xml:space="preserve">134. </w:t>
      </w:r>
      <w:r>
        <w:tab/>
        <w:t xml:space="preserve">Vinukonda G, Dummula K, Malik S, et al. Effect of Prenatal Glucocorticoids on Cerebral Vasculature of the Developing Brain. </w:t>
      </w:r>
      <w:r>
        <w:rPr>
          <w:i/>
          <w:iCs/>
        </w:rPr>
        <w:t>Stroke</w:t>
      </w:r>
      <w:r>
        <w:t>. 2010;41(8):1766-1773. doi:10.1161/STROKEAHA.110.588400</w:t>
      </w:r>
    </w:p>
    <w:p w14:paraId="6D8C7934" w14:textId="77777777" w:rsidR="007C5A51" w:rsidRDefault="007C5A51" w:rsidP="007C5A51">
      <w:pPr>
        <w:pStyle w:val="Bibliography"/>
      </w:pPr>
      <w:r>
        <w:t xml:space="preserve">135. </w:t>
      </w:r>
      <w:r>
        <w:tab/>
        <w:t xml:space="preserve">Chetta A, Zanini A, Foresi A, et al. Vascular Component of Airway Remodeling in Asthma Is Reduced by High Dose of Fluticasone. </w:t>
      </w:r>
      <w:r>
        <w:rPr>
          <w:i/>
          <w:iCs/>
        </w:rPr>
        <w:t>Am J Respir Crit Care Med</w:t>
      </w:r>
      <w:r>
        <w:t>. 2003;167(5):751-757. doi:10.1164/rccm.200207-710OC</w:t>
      </w:r>
    </w:p>
    <w:p w14:paraId="4112BE85" w14:textId="77777777" w:rsidR="007C5A51" w:rsidRDefault="007C5A51" w:rsidP="007C5A51">
      <w:pPr>
        <w:pStyle w:val="Bibliography"/>
      </w:pPr>
      <w:r>
        <w:t xml:space="preserve">136. </w:t>
      </w:r>
      <w:r>
        <w:tab/>
        <w:t xml:space="preserve">Kao JS, Fluhr JW, Man MQ, et al. Short-Term Glucocorticoid Treatment Compromises Both Permeability Barrier Homeostasis and Stratum Corneum Integrity: Inhibition of Epidermal Lipid Synthesis Accounts for Functional Abnormalities. </w:t>
      </w:r>
      <w:r>
        <w:rPr>
          <w:i/>
          <w:iCs/>
        </w:rPr>
        <w:t>J Invest Dermatol</w:t>
      </w:r>
      <w:r>
        <w:t>. 2003;120(3):456-464. doi:10.1046/j.1523-1747.2003.12053.x</w:t>
      </w:r>
    </w:p>
    <w:p w14:paraId="0723CD43" w14:textId="77777777" w:rsidR="007C5A51" w:rsidRDefault="007C5A51" w:rsidP="007C5A51">
      <w:pPr>
        <w:pStyle w:val="Bibliography"/>
      </w:pPr>
      <w:r>
        <w:t xml:space="preserve">137. </w:t>
      </w:r>
      <w:r>
        <w:tab/>
        <w:t xml:space="preserve">Sheu HM, Lee JYY, Chai CY, Kuo KW. Depletion of stratum corneum intercellular lipid lamellae and barrier function abnormalities after long-term topical corticosteroids. </w:t>
      </w:r>
      <w:r>
        <w:rPr>
          <w:i/>
          <w:iCs/>
        </w:rPr>
        <w:t>British Journal of Dermatology</w:t>
      </w:r>
      <w:r>
        <w:t>. 1997;136(6):884-890. doi:10.1046/j.1365-2133.1997.01827.x</w:t>
      </w:r>
    </w:p>
    <w:p w14:paraId="038627C2" w14:textId="77777777" w:rsidR="007C5A51" w:rsidRDefault="007C5A51" w:rsidP="007C5A51">
      <w:pPr>
        <w:pStyle w:val="Bibliography"/>
      </w:pPr>
      <w:r>
        <w:t xml:space="preserve">138. </w:t>
      </w:r>
      <w:r>
        <w:tab/>
        <w:t xml:space="preserve">Wild GE, Waschke KA, Bitton A, Thomson ABR. The mechanisms of prednisone inhibition of inflammation in Crohn’s disease involve changes in intestinal permeability, mucosal TNFα production and nuclear factor kappa B expression. </w:t>
      </w:r>
      <w:r>
        <w:rPr>
          <w:i/>
          <w:iCs/>
        </w:rPr>
        <w:t>Alimentary Pharmacology &amp; Therapeutics</w:t>
      </w:r>
      <w:r>
        <w:t>. 2003;18(3):309-317. doi:10.1046/j.1365-2036.2003.01611.x</w:t>
      </w:r>
    </w:p>
    <w:p w14:paraId="4CAFFB97" w14:textId="77777777" w:rsidR="007C5A51" w:rsidRDefault="007C5A51" w:rsidP="007C5A51">
      <w:pPr>
        <w:pStyle w:val="Bibliography"/>
      </w:pPr>
      <w:r>
        <w:t xml:space="preserve">139. </w:t>
      </w:r>
      <w:r>
        <w:tab/>
        <w:t xml:space="preserve">Boivin MA, Ye D, Kennedy JC, Al-Sadi R, Shepela C, Ma TY. Mechanism of glucocorticoid regulation of the intestinal tight junction barrier. </w:t>
      </w:r>
      <w:r>
        <w:rPr>
          <w:i/>
          <w:iCs/>
        </w:rPr>
        <w:t>American Journal of Physiology-Gastrointestinal and Liver Physiology</w:t>
      </w:r>
      <w:r>
        <w:t>. 2007;292(2):G590-G598. doi:10.1152/ajpgi.00252.2006</w:t>
      </w:r>
    </w:p>
    <w:p w14:paraId="1653BFF3" w14:textId="77777777" w:rsidR="007C5A51" w:rsidRDefault="007C5A51" w:rsidP="007C5A51">
      <w:pPr>
        <w:pStyle w:val="Bibliography"/>
      </w:pPr>
      <w:r>
        <w:t xml:space="preserve">140. </w:t>
      </w:r>
      <w:r>
        <w:tab/>
        <w:t xml:space="preserve">Hue CD, Cho FS, Cao S, Bass CR “Dale,” Meaney DF, Morrison B. Dexamethasone Potentiates in Vitro Blood-Brain Barrier Recovery after Primary Blast Injury by Glucocorticoid Receptor-Mediated Upregulation of ZO-1 Tight Junction Protein. </w:t>
      </w:r>
      <w:r>
        <w:rPr>
          <w:i/>
          <w:iCs/>
        </w:rPr>
        <w:t>J Cereb Blood Flow Metab</w:t>
      </w:r>
      <w:r>
        <w:t>. 2015;35(7):1191-1198. doi:10.1038/jcbfm.2015.38</w:t>
      </w:r>
    </w:p>
    <w:p w14:paraId="25F79CEE" w14:textId="77777777" w:rsidR="007C5A51" w:rsidRDefault="007C5A51" w:rsidP="007C5A51">
      <w:pPr>
        <w:pStyle w:val="Bibliography"/>
      </w:pPr>
      <w:r>
        <w:t xml:space="preserve">141. </w:t>
      </w:r>
      <w:r>
        <w:tab/>
        <w:t xml:space="preserve">Romero IA, Radewicz K, Jubin E, et al. Changes in cytoskeletal and tight junctional proteins correlate with decreased permeability induced by dexamethasone in cultured rat brain endothelial cells. </w:t>
      </w:r>
      <w:r>
        <w:rPr>
          <w:i/>
          <w:iCs/>
        </w:rPr>
        <w:t>Neuroscience Letters</w:t>
      </w:r>
      <w:r>
        <w:t>. 2003;344(2):112-116. doi:10.1016/S0304-3940(03)00348-3</w:t>
      </w:r>
    </w:p>
    <w:p w14:paraId="274C0D29" w14:textId="77777777" w:rsidR="007C5A51" w:rsidRDefault="007C5A51" w:rsidP="007C5A51">
      <w:pPr>
        <w:pStyle w:val="Bibliography"/>
      </w:pPr>
      <w:r>
        <w:t xml:space="preserve">142. </w:t>
      </w:r>
      <w:r>
        <w:tab/>
        <w:t>Singer KL, StevensonOn B, Woos PL, FirestoneSIl GL. Relationship of SerinePThreonine PhosphorylatiodDephosphorylation Signaling to Glucocorticoid Regulation of Tight Junction Permeability andZO-1 Distribution in Nontransformed Mammary Epithelial Cells. :8.</w:t>
      </w:r>
    </w:p>
    <w:p w14:paraId="2BA1A84D" w14:textId="77777777" w:rsidR="007C5A51" w:rsidRDefault="007C5A51" w:rsidP="007C5A51">
      <w:pPr>
        <w:pStyle w:val="Bibliography"/>
      </w:pPr>
      <w:r>
        <w:t xml:space="preserve">143. </w:t>
      </w:r>
      <w:r>
        <w:tab/>
        <w:t xml:space="preserve">Cucullo L, Hallene K, Dini G, Dal Toso R, Janigro D. Glycerophosphoinositol and dexamethasone improve transendothelial electrical resistance in an in vitro study of the blood–brain barrier. </w:t>
      </w:r>
      <w:r>
        <w:rPr>
          <w:i/>
          <w:iCs/>
        </w:rPr>
        <w:t>Brain research</w:t>
      </w:r>
      <w:r>
        <w:t>. 2004;997(2):147-151.</w:t>
      </w:r>
    </w:p>
    <w:p w14:paraId="73C2539B" w14:textId="77777777" w:rsidR="007C5A51" w:rsidRDefault="007C5A51" w:rsidP="007C5A51">
      <w:pPr>
        <w:pStyle w:val="Bibliography"/>
      </w:pPr>
      <w:r>
        <w:t xml:space="preserve">144. </w:t>
      </w:r>
      <w:r>
        <w:tab/>
        <w:t xml:space="preserve">Campolo M, Ahmad A, Crupi R, et al. Combination therapy with melatonin and dexamethasone in a mouse model of traumatic brain injury. </w:t>
      </w:r>
      <w:r>
        <w:rPr>
          <w:i/>
          <w:iCs/>
        </w:rPr>
        <w:t>The Journal of endocrinology</w:t>
      </w:r>
      <w:r>
        <w:t>. 2013;217. doi:10.1530/JOE-13-0022</w:t>
      </w:r>
    </w:p>
    <w:p w14:paraId="010E6603" w14:textId="77777777" w:rsidR="007C5A51" w:rsidRDefault="007C5A51" w:rsidP="007C5A51">
      <w:pPr>
        <w:pStyle w:val="Bibliography"/>
      </w:pPr>
      <w:r>
        <w:t xml:space="preserve">145. </w:t>
      </w:r>
      <w:r>
        <w:tab/>
        <w:t xml:space="preserve">Thal SC, Schaible EV, Neuhaus W, et al. Inhibition of Proteasomal Glucocorticoid Receptor Degradation Restores Dexamethasone-Mediated Stabilization of the Blood–Brain Barrier After Traumatic Brain Injury*. </w:t>
      </w:r>
      <w:r>
        <w:rPr>
          <w:i/>
          <w:iCs/>
        </w:rPr>
        <w:t>Critical Care Medicine</w:t>
      </w:r>
      <w:r>
        <w:t>. 2013;41(5):1305-1315. doi:10.1097/CCM.0b013e31827ca494</w:t>
      </w:r>
    </w:p>
    <w:p w14:paraId="206C2894" w14:textId="77777777" w:rsidR="007C5A51" w:rsidRDefault="007C5A51" w:rsidP="007C5A51">
      <w:pPr>
        <w:pStyle w:val="Bibliography"/>
      </w:pPr>
      <w:r>
        <w:t xml:space="preserve">146. </w:t>
      </w:r>
      <w:r>
        <w:tab/>
        <w:t xml:space="preserve">Förster C, Silwedel C, Golenhofen N, et al. Occludin as direct target for glucocorticoid-induced improvement of blood–brain barrier properties in a murine in vitro system. </w:t>
      </w:r>
      <w:r>
        <w:rPr>
          <w:i/>
          <w:iCs/>
        </w:rPr>
        <w:t>The Journal of Physiology</w:t>
      </w:r>
      <w:r>
        <w:t>. 2005;565(2):475-486. doi:10.1113/jphysiol.2005.084038</w:t>
      </w:r>
    </w:p>
    <w:p w14:paraId="705D850A" w14:textId="77777777" w:rsidR="007C5A51" w:rsidRDefault="007C5A51" w:rsidP="007C5A51">
      <w:pPr>
        <w:pStyle w:val="Bibliography"/>
      </w:pPr>
      <w:r>
        <w:t xml:space="preserve">147. </w:t>
      </w:r>
      <w:r>
        <w:tab/>
        <w:t xml:space="preserve">Hall JE, Suehiro A, Rousseau B, Branski RC, Garrett CG. Investigation of Triamcinolone in Acute Phonotrauma. </w:t>
      </w:r>
      <w:r>
        <w:rPr>
          <w:i/>
          <w:iCs/>
        </w:rPr>
        <w:t>Otolaryngol Head Neck Surg</w:t>
      </w:r>
      <w:r>
        <w:t>. 2011;145(2_suppl):P193-P193. doi:10.1177/0194599811415823a192</w:t>
      </w:r>
    </w:p>
    <w:p w14:paraId="4EC5BCB7" w14:textId="77777777" w:rsidR="007C5A51" w:rsidRDefault="007C5A51" w:rsidP="007C5A51">
      <w:pPr>
        <w:pStyle w:val="Bibliography"/>
      </w:pPr>
      <w:r>
        <w:t xml:space="preserve">148. </w:t>
      </w:r>
      <w:r>
        <w:tab/>
        <w:t xml:space="preserve">Kielgast F, Schmidt H, Braubach P, et al. Glucocorticoids Regulate Tight Junction Permeability of Lung Epithelia by Modulating Claudin 8. </w:t>
      </w:r>
      <w:r>
        <w:rPr>
          <w:i/>
          <w:iCs/>
        </w:rPr>
        <w:t>Am J Respir Cell Mol Biol</w:t>
      </w:r>
      <w:r>
        <w:t>. 2016;54(5):707-717. doi:10.1165/rcmb.2015-0071OC</w:t>
      </w:r>
    </w:p>
    <w:p w14:paraId="12E5A641" w14:textId="77777777" w:rsidR="007C5A51" w:rsidRDefault="007C5A51" w:rsidP="007C5A51">
      <w:pPr>
        <w:pStyle w:val="Bibliography"/>
      </w:pPr>
      <w:r>
        <w:t xml:space="preserve">149. </w:t>
      </w:r>
      <w:r>
        <w:tab/>
        <w:t xml:space="preserve">Ramamoorthy S, Cidlowski JA. Exploring the Molecular Mechanisms of Glucocorticoid Receptor Action from Sensitivity to Resistance. </w:t>
      </w:r>
      <w:r>
        <w:rPr>
          <w:i/>
          <w:iCs/>
        </w:rPr>
        <w:t>Endocr Dev</w:t>
      </w:r>
      <w:r>
        <w:t>. 2013;24:41-56. doi:10.1159/000342502</w:t>
      </w:r>
    </w:p>
    <w:p w14:paraId="0F27C310" w14:textId="77777777" w:rsidR="007C5A51" w:rsidRDefault="007C5A51" w:rsidP="007C5A51">
      <w:pPr>
        <w:pStyle w:val="Bibliography"/>
      </w:pPr>
      <w:r>
        <w:t xml:space="preserve">150. </w:t>
      </w:r>
      <w:r>
        <w:tab/>
        <w:t xml:space="preserve">G R, A M, A L, et al. Glucocorticoid receptors are down-regulated in inflamed colonic mucosa but not in peripheral blood mononuclear cells from patients with inflammatory bowel disease. </w:t>
      </w:r>
      <w:r>
        <w:rPr>
          <w:i/>
          <w:iCs/>
        </w:rPr>
        <w:t>Eur J Clin Invest</w:t>
      </w:r>
      <w:r>
        <w:t>. 1999;29(4):330-336. doi:10.1046/j.1365-2362.1999.00460.x</w:t>
      </w:r>
    </w:p>
    <w:p w14:paraId="0373002D" w14:textId="77777777" w:rsidR="007C5A51" w:rsidRDefault="007C5A51" w:rsidP="007C5A51">
      <w:pPr>
        <w:pStyle w:val="Bibliography"/>
      </w:pPr>
      <w:r>
        <w:t xml:space="preserve">151. </w:t>
      </w:r>
      <w:r>
        <w:tab/>
        <w:t xml:space="preserve">Wasilewska A, Zoch-Zwierz W. Expression of glucocorticoid receptors in nephrotic children depending on total prednisone dose. </w:t>
      </w:r>
      <w:r>
        <w:rPr>
          <w:i/>
          <w:iCs/>
        </w:rPr>
        <w:t>J Pediatr Endocrinol Metab</w:t>
      </w:r>
      <w:r>
        <w:t>. 2005;18(8):799-806. doi:10.1515/jpem.2005.18.8.799</w:t>
      </w:r>
    </w:p>
    <w:p w14:paraId="6DDA7D23" w14:textId="77777777" w:rsidR="007C5A51" w:rsidRDefault="007C5A51" w:rsidP="007C5A51">
      <w:pPr>
        <w:pStyle w:val="Bibliography"/>
      </w:pPr>
      <w:r>
        <w:t xml:space="preserve">152. </w:t>
      </w:r>
      <w:r>
        <w:tab/>
        <w:t xml:space="preserve">Lippman M. Clinical implications of glucocorticoid receptors in human leukemia. </w:t>
      </w:r>
      <w:r>
        <w:rPr>
          <w:i/>
          <w:iCs/>
        </w:rPr>
        <w:t>American Journal of Physiology-Endocrinology and Metabolism</w:t>
      </w:r>
      <w:r>
        <w:t>. 1982;243(2):E103-E108. doi:10.1152/ajpendo.1982.243.2.E103</w:t>
      </w:r>
    </w:p>
    <w:p w14:paraId="71FF89CB" w14:textId="77777777" w:rsidR="007C5A51" w:rsidRDefault="007C5A51" w:rsidP="007C5A51">
      <w:pPr>
        <w:pStyle w:val="Bibliography"/>
      </w:pPr>
      <w:r>
        <w:t xml:space="preserve">153. </w:t>
      </w:r>
      <w:r>
        <w:tab/>
        <w:t xml:space="preserve">Bhavsar P, Hew M, Khorasani N, et al. Relative corticosteroid insensitivity of alveolar macrophages in severe asthma compared with non-severe asthma. </w:t>
      </w:r>
      <w:r>
        <w:rPr>
          <w:i/>
          <w:iCs/>
        </w:rPr>
        <w:t>Thorax</w:t>
      </w:r>
      <w:r>
        <w:t>. 2008;63(9):784-790. doi:10.1136/thx.2007.090027</w:t>
      </w:r>
    </w:p>
    <w:p w14:paraId="7356281B" w14:textId="77777777" w:rsidR="007C5A51" w:rsidRDefault="007C5A51" w:rsidP="007C5A51">
      <w:pPr>
        <w:pStyle w:val="Bibliography"/>
      </w:pPr>
      <w:r>
        <w:t xml:space="preserve">154. </w:t>
      </w:r>
      <w:r>
        <w:tab/>
        <w:t xml:space="preserve">Chang PJ, Bhavsar PK, Michaeloudes C, Khorasani N, Chung KF. Corticosteroid insensitivity of chemokine expression in airway smooth muscle of patients with severe asthma. </w:t>
      </w:r>
      <w:r>
        <w:rPr>
          <w:i/>
          <w:iCs/>
        </w:rPr>
        <w:t>Journal of Allergy and Clinical Immunology</w:t>
      </w:r>
      <w:r>
        <w:t>. 2012;130(4):877-885.</w:t>
      </w:r>
    </w:p>
    <w:p w14:paraId="4B4D7B49" w14:textId="77777777" w:rsidR="007C5A51" w:rsidRDefault="007C5A51" w:rsidP="007C5A51">
      <w:pPr>
        <w:pStyle w:val="Bibliography"/>
      </w:pPr>
      <w:r>
        <w:t xml:space="preserve">155. </w:t>
      </w:r>
      <w:r>
        <w:tab/>
        <w:t xml:space="preserve">Chang PJ, Michaeloudes C, Zhu J, et al. Impaired Nuclear Translocation of the Glucocorticoid Receptor in Corticosteroid-Insensitive Airway Smooth Muscle in Severe Asthma. </w:t>
      </w:r>
      <w:r>
        <w:rPr>
          <w:i/>
          <w:iCs/>
        </w:rPr>
        <w:t>Am J Respir Crit Care Med</w:t>
      </w:r>
      <w:r>
        <w:t>. 2015;191(1):54-62. doi:10.1164/rccm.201402-0314OC</w:t>
      </w:r>
    </w:p>
    <w:p w14:paraId="767F7383" w14:textId="77777777" w:rsidR="007C5A51" w:rsidRDefault="007C5A51" w:rsidP="007C5A51">
      <w:pPr>
        <w:pStyle w:val="Bibliography"/>
      </w:pPr>
      <w:r>
        <w:t xml:space="preserve">156. </w:t>
      </w:r>
      <w:r>
        <w:tab/>
        <w:t xml:space="preserve">Schakman O, Gilson H, Kalista S, Thissen JP. Mechanisms of Muscle Atrophy Induced by Glucocorticoids. </w:t>
      </w:r>
      <w:r>
        <w:rPr>
          <w:i/>
          <w:iCs/>
        </w:rPr>
        <w:t>Horm Res</w:t>
      </w:r>
      <w:r>
        <w:t>. 2009;72(1):36-41. doi:10.1159/000229762</w:t>
      </w:r>
    </w:p>
    <w:p w14:paraId="127F5A2F" w14:textId="77777777" w:rsidR="007C5A51" w:rsidRDefault="007C5A51" w:rsidP="007C5A51">
      <w:pPr>
        <w:pStyle w:val="Bibliography"/>
      </w:pPr>
      <w:r>
        <w:t xml:space="preserve">157. </w:t>
      </w:r>
      <w:r>
        <w:tab/>
        <w:t xml:space="preserve">Salehian, MD B, Kejriwal, MD K. GLUCOCORTICOID-INDUCED MUSCLE ATROPHY: MECHANISMS AND THERAPEUTIC STRATEGIES. </w:t>
      </w:r>
      <w:r>
        <w:rPr>
          <w:i/>
          <w:iCs/>
        </w:rPr>
        <w:t>Endocrine Practice</w:t>
      </w:r>
      <w:r>
        <w:t>. 1999;5(5):277-281. doi:10.4158/EP.5.5.277</w:t>
      </w:r>
    </w:p>
    <w:p w14:paraId="3AB37EA3" w14:textId="77777777" w:rsidR="007C5A51" w:rsidRDefault="007C5A51" w:rsidP="007C5A51">
      <w:pPr>
        <w:pStyle w:val="Bibliography"/>
      </w:pPr>
      <w:r>
        <w:t xml:space="preserve">158. </w:t>
      </w:r>
      <w:r>
        <w:tab/>
        <w:t xml:space="preserve">Lecker SH, Solomon V, Mitch WE, Goldberg AL. Muscle Protein Breakdown and the Critical Role of the Ubiquitin-Proteasome Pathway in Normal and Disease States. </w:t>
      </w:r>
      <w:r>
        <w:rPr>
          <w:i/>
          <w:iCs/>
        </w:rPr>
        <w:t>J Nutr</w:t>
      </w:r>
      <w:r>
        <w:t>. 1999;129(1):227S-237S. doi:10.1093/jn/129.1.227S</w:t>
      </w:r>
    </w:p>
    <w:p w14:paraId="130E0A96" w14:textId="77777777" w:rsidR="007C5A51" w:rsidRDefault="007C5A51" w:rsidP="007C5A51">
      <w:pPr>
        <w:pStyle w:val="Bibliography"/>
      </w:pPr>
      <w:r>
        <w:t xml:space="preserve">159. </w:t>
      </w:r>
      <w:r>
        <w:tab/>
        <w:t xml:space="preserve">Shi LL, Giraldez-Rodriguez LA, Johns MM. The risk of vocal fold atrophy after serial corticosteroid injections of the vocal fold. </w:t>
      </w:r>
      <w:r>
        <w:rPr>
          <w:i/>
          <w:iCs/>
        </w:rPr>
        <w:t>Journal of Voice</w:t>
      </w:r>
      <w:r>
        <w:t>. 2016;30(6):762-e11. doi:10.1016/j.jvoice.2015.10.004</w:t>
      </w:r>
    </w:p>
    <w:p w14:paraId="1CB8C807" w14:textId="77777777" w:rsidR="007C5A51" w:rsidRDefault="007C5A51" w:rsidP="007C5A51">
      <w:pPr>
        <w:pStyle w:val="Bibliography"/>
      </w:pPr>
      <w:r>
        <w:t xml:space="preserve">160. </w:t>
      </w:r>
      <w:r>
        <w:tab/>
        <w:t xml:space="preserve">Jin HJ, Lee SH, Lee SU, et al. Morphological and Histological Changes of Rabbit Vocal Fold after Steroid Injection. </w:t>
      </w:r>
      <w:r>
        <w:rPr>
          <w:i/>
          <w:iCs/>
        </w:rPr>
        <w:t>Otolaryngol Head Neck Surg</w:t>
      </w:r>
      <w:r>
        <w:t>. 2013;149(2):277-283. doi:10.1177/0194599813489657</w:t>
      </w:r>
    </w:p>
    <w:p w14:paraId="77DE7C79" w14:textId="77777777" w:rsidR="007C5A51" w:rsidRDefault="007C5A51" w:rsidP="007C5A51">
      <w:pPr>
        <w:pStyle w:val="Bibliography"/>
      </w:pPr>
      <w:r>
        <w:t xml:space="preserve">161. </w:t>
      </w:r>
      <w:r>
        <w:tab/>
        <w:t xml:space="preserve">Wing SS, Haas AL, Goldberg AL. Increase in ubiquitin-protein conjugates concomitant with the increase in proteolysis in rat skeletal muscle during starvation and atrophy denervation. </w:t>
      </w:r>
      <w:r>
        <w:rPr>
          <w:i/>
          <w:iCs/>
        </w:rPr>
        <w:t>Biochem J</w:t>
      </w:r>
      <w:r>
        <w:t>. 1995;307(Pt 3):639-645.</w:t>
      </w:r>
    </w:p>
    <w:p w14:paraId="2D5A162F" w14:textId="77777777" w:rsidR="007C5A51" w:rsidRDefault="007C5A51" w:rsidP="007C5A51">
      <w:pPr>
        <w:pStyle w:val="Bibliography"/>
      </w:pPr>
      <w:r>
        <w:t xml:space="preserve">162. </w:t>
      </w:r>
      <w:r>
        <w:tab/>
        <w:t xml:space="preserve">Clavel S, Coldefy AS, Kurkdjian E, Salles J, Margaritis I, Derijard B. Atrophy-related ubiquitin ligases, atrogin-1 and MuRF1 are up-regulated in aged rat Tibialis Anterior muscle. </w:t>
      </w:r>
      <w:r>
        <w:rPr>
          <w:i/>
          <w:iCs/>
        </w:rPr>
        <w:t>Mechanisms of Ageing and Development</w:t>
      </w:r>
      <w:r>
        <w:t>. 2006;127(10):794-801. doi:10.1016/j.mad.2006.07.005</w:t>
      </w:r>
    </w:p>
    <w:p w14:paraId="7411D606" w14:textId="77777777" w:rsidR="007C5A51" w:rsidRDefault="007C5A51" w:rsidP="007C5A51">
      <w:pPr>
        <w:pStyle w:val="Bibliography"/>
      </w:pPr>
      <w:r>
        <w:t xml:space="preserve">163. </w:t>
      </w:r>
      <w:r>
        <w:tab/>
        <w:t xml:space="preserve">Schiaffino S, Mammucari C. Regulation of skeletal muscle growth by the IGF1-Akt/PKB pathway: insights from genetic models. </w:t>
      </w:r>
      <w:r>
        <w:rPr>
          <w:i/>
          <w:iCs/>
        </w:rPr>
        <w:t>Skelet Muscle</w:t>
      </w:r>
      <w:r>
        <w:t>. 2011;1:4. doi:10.1186/2044-5040-1-4</w:t>
      </w:r>
    </w:p>
    <w:p w14:paraId="6B4C92EC" w14:textId="77777777" w:rsidR="007C5A51" w:rsidRDefault="007C5A51" w:rsidP="007C5A51">
      <w:pPr>
        <w:pStyle w:val="Bibliography"/>
      </w:pPr>
      <w:r>
        <w:t xml:space="preserve">164. </w:t>
      </w:r>
      <w:r>
        <w:tab/>
        <w:t xml:space="preserve">Gumucio JP, Mendias CL. Atrogin-1, MuRF-1, and sarcopenia. </w:t>
      </w:r>
      <w:r>
        <w:rPr>
          <w:i/>
          <w:iCs/>
        </w:rPr>
        <w:t>Endocrine</w:t>
      </w:r>
      <w:r>
        <w:t>. 2013;43(1):12-21. doi:10.1007/s12020-012-9751-7</w:t>
      </w:r>
    </w:p>
    <w:p w14:paraId="73AD538E" w14:textId="77777777" w:rsidR="007C5A51" w:rsidRDefault="007C5A51" w:rsidP="007C5A51">
      <w:pPr>
        <w:pStyle w:val="Bibliography"/>
      </w:pPr>
      <w:r>
        <w:t xml:space="preserve">165. </w:t>
      </w:r>
      <w:r>
        <w:tab/>
        <w:t xml:space="preserve">Callis J. The Ubiquitination Machinery of the Ubiquitin System. </w:t>
      </w:r>
      <w:r>
        <w:rPr>
          <w:i/>
          <w:iCs/>
        </w:rPr>
        <w:t>Arabidopsis Book</w:t>
      </w:r>
      <w:r>
        <w:t>. 2014;12. doi:10.1199/tab.0174</w:t>
      </w:r>
    </w:p>
    <w:p w14:paraId="5B6B571C" w14:textId="77777777" w:rsidR="007C5A51" w:rsidRDefault="007C5A51" w:rsidP="007C5A51">
      <w:pPr>
        <w:pStyle w:val="Bibliography"/>
      </w:pPr>
      <w:r>
        <w:t xml:space="preserve">166. </w:t>
      </w:r>
      <w:r>
        <w:tab/>
        <w:t xml:space="preserve">Hershko A, Ciechanover A. The Ubiquitin System for Protein Degradation. </w:t>
      </w:r>
      <w:r>
        <w:rPr>
          <w:i/>
          <w:iCs/>
        </w:rPr>
        <w:t>Annual Review of Biochemistry</w:t>
      </w:r>
      <w:r>
        <w:t>. 1992;61(1):761-807. doi:10.1146/annurev.bi.61.070192.003553</w:t>
      </w:r>
    </w:p>
    <w:p w14:paraId="3FF9B5FF" w14:textId="77777777" w:rsidR="007C5A51" w:rsidRDefault="007C5A51" w:rsidP="007C5A51">
      <w:pPr>
        <w:pStyle w:val="Bibliography"/>
      </w:pPr>
      <w:r>
        <w:t xml:space="preserve">167. </w:t>
      </w:r>
      <w:r>
        <w:tab/>
        <w:t xml:space="preserve">Mitch WE, Goldberg AL. Mechanisms of Muscle Wasting — The Role of the Ubiquitin–Proteasome Pathway. Epstein FH, ed. </w:t>
      </w:r>
      <w:r>
        <w:rPr>
          <w:i/>
          <w:iCs/>
        </w:rPr>
        <w:t>N Engl J Med</w:t>
      </w:r>
      <w:r>
        <w:t>. 1996;335(25):1897-1905. doi:10.1056/NEJM199612193352507</w:t>
      </w:r>
    </w:p>
    <w:p w14:paraId="69C7D5E5" w14:textId="77777777" w:rsidR="007C5A51" w:rsidRDefault="007C5A51" w:rsidP="007C5A51">
      <w:pPr>
        <w:pStyle w:val="Bibliography"/>
      </w:pPr>
      <w:r>
        <w:t xml:space="preserve">168. </w:t>
      </w:r>
      <w:r>
        <w:tab/>
        <w:t xml:space="preserve">Nakayama KI, Nakayama K. Ubiquitin ligases: cell-cycle control and cancer. </w:t>
      </w:r>
      <w:r>
        <w:rPr>
          <w:i/>
          <w:iCs/>
        </w:rPr>
        <w:t>Nature Reviews Cancer</w:t>
      </w:r>
      <w:r>
        <w:t>. 2006;6(5):369-381. doi:10.1038/nrc1881</w:t>
      </w:r>
    </w:p>
    <w:p w14:paraId="32659F5D" w14:textId="77777777" w:rsidR="007C5A51" w:rsidRDefault="007C5A51" w:rsidP="007C5A51">
      <w:pPr>
        <w:pStyle w:val="Bibliography"/>
      </w:pPr>
      <w:r>
        <w:t xml:space="preserve">169. </w:t>
      </w:r>
      <w:r>
        <w:tab/>
        <w:t xml:space="preserve">Foletta VC, White LJ, Larsen AE, Léger B, Russell AP. The role and regulation of MAFbx/atrogin-1 and MuRF1 in skeletal muscle atrophy. </w:t>
      </w:r>
      <w:r>
        <w:rPr>
          <w:i/>
          <w:iCs/>
        </w:rPr>
        <w:t>Pflugers Arch - Eur J Physiol</w:t>
      </w:r>
      <w:r>
        <w:t>. 2011;461(3):325-335. doi:10.1007/s00424-010-0919-9</w:t>
      </w:r>
    </w:p>
    <w:p w14:paraId="7F9F7F35" w14:textId="77777777" w:rsidR="007C5A51" w:rsidRDefault="007C5A51" w:rsidP="007C5A51">
      <w:pPr>
        <w:pStyle w:val="Bibliography"/>
      </w:pPr>
      <w:r>
        <w:t xml:space="preserve">170. </w:t>
      </w:r>
      <w:r>
        <w:tab/>
        <w:t xml:space="preserve">de Boer MD, Selby A, Atherton P, et al. The temporal responses of protein synthesis, gene expression and cell signalling in human quadriceps muscle and patellar tendon to disuse. </w:t>
      </w:r>
      <w:r>
        <w:rPr>
          <w:i/>
          <w:iCs/>
        </w:rPr>
        <w:t>J Physiol (Lond)</w:t>
      </w:r>
      <w:r>
        <w:t>. 2007;585(Pt 1):241-251. doi:10.1113/jphysiol.2007.142828</w:t>
      </w:r>
    </w:p>
    <w:p w14:paraId="24E01EF3" w14:textId="77777777" w:rsidR="007C5A51" w:rsidRDefault="007C5A51" w:rsidP="007C5A51">
      <w:pPr>
        <w:pStyle w:val="Bibliography"/>
      </w:pPr>
      <w:r>
        <w:t xml:space="preserve">171. </w:t>
      </w:r>
      <w:r>
        <w:tab/>
        <w:t xml:space="preserve">Jones SW, Hill RJ, Krasney PA, O’conner B, Peirce N, Greenhaff PL. Disuse atrophy and exercise rehabilitation in humans profoundly affects the expression of genes associated with the regulation of skeletal muscle mass. </w:t>
      </w:r>
      <w:r>
        <w:rPr>
          <w:i/>
          <w:iCs/>
        </w:rPr>
        <w:t>The FASEB Journal</w:t>
      </w:r>
      <w:r>
        <w:t>. 2004;18(9):1025-1027. doi:10.1096/fj.03-1228fje</w:t>
      </w:r>
    </w:p>
    <w:p w14:paraId="45100C25" w14:textId="77777777" w:rsidR="007C5A51" w:rsidRDefault="007C5A51" w:rsidP="007C5A51">
      <w:pPr>
        <w:pStyle w:val="Bibliography"/>
      </w:pPr>
      <w:r>
        <w:t xml:space="preserve">172. </w:t>
      </w:r>
      <w:r>
        <w:tab/>
        <w:t xml:space="preserve">Chen YW, Gregory CM, Scarborough MT, Shi R, Walter GA, Vandenborne K. Transcriptional pathways associated with skeletal muscle disuse atrophy in humans. </w:t>
      </w:r>
      <w:r>
        <w:rPr>
          <w:i/>
          <w:iCs/>
        </w:rPr>
        <w:t>Physiological Genomics</w:t>
      </w:r>
      <w:r>
        <w:t>. 2007;31(3):510-520. doi:10.1152/physiolgenomics.00115.2006</w:t>
      </w:r>
    </w:p>
    <w:p w14:paraId="13AEC64E" w14:textId="77777777" w:rsidR="007C5A51" w:rsidRDefault="007C5A51" w:rsidP="007C5A51">
      <w:pPr>
        <w:pStyle w:val="Bibliography"/>
      </w:pPr>
      <w:r>
        <w:t xml:space="preserve">173. </w:t>
      </w:r>
      <w:r>
        <w:tab/>
        <w:t xml:space="preserve">Gustafsson T, Osterlund T, Flanagan JN, et al. Effects of 3 days unloading on molecular regulators of muscle size in humans. </w:t>
      </w:r>
      <w:r>
        <w:rPr>
          <w:i/>
          <w:iCs/>
        </w:rPr>
        <w:t>Journal of Applied Physiology</w:t>
      </w:r>
      <w:r>
        <w:t>. 2010;109(3):721-727. doi:10.1152/japplphysiol.00110.2009</w:t>
      </w:r>
    </w:p>
    <w:p w14:paraId="32FA502A" w14:textId="77777777" w:rsidR="007C5A51" w:rsidRDefault="007C5A51" w:rsidP="007C5A51">
      <w:pPr>
        <w:pStyle w:val="Bibliography"/>
      </w:pPr>
      <w:r>
        <w:t xml:space="preserve">174. </w:t>
      </w:r>
      <w:r>
        <w:tab/>
        <w:t xml:space="preserve">Bodine SC, Latres E, Baumhueter S, et al. Identification of ubiquitin ligases required for skeletal Muscle Atrophy. </w:t>
      </w:r>
      <w:r>
        <w:rPr>
          <w:i/>
          <w:iCs/>
        </w:rPr>
        <w:t>Science</w:t>
      </w:r>
      <w:r>
        <w:t>. 2001;31(3):510-520. doi:10.1126/science.1065874</w:t>
      </w:r>
    </w:p>
    <w:p w14:paraId="47E22D14" w14:textId="77777777" w:rsidR="007C5A51" w:rsidRDefault="007C5A51" w:rsidP="007C5A51">
      <w:pPr>
        <w:pStyle w:val="Bibliography"/>
      </w:pPr>
      <w:r>
        <w:t xml:space="preserve">175. </w:t>
      </w:r>
      <w:r>
        <w:tab/>
        <w:t xml:space="preserve">Moresi V, Williams AH, Meadows E, et al. Myogenin and Class II HDACs Control Neurogenic Muscle Atrophy by Inducing E3 Ubiquitin Ligases. </w:t>
      </w:r>
      <w:r>
        <w:rPr>
          <w:i/>
          <w:iCs/>
        </w:rPr>
        <w:t>Cell</w:t>
      </w:r>
      <w:r>
        <w:t>. 2010;143(1):35-45. doi:10.1016/j.cell.2010.09.004</w:t>
      </w:r>
    </w:p>
    <w:p w14:paraId="4AE83F97" w14:textId="77777777" w:rsidR="007C5A51" w:rsidRDefault="007C5A51" w:rsidP="007C5A51">
      <w:pPr>
        <w:pStyle w:val="Bibliography"/>
      </w:pPr>
      <w:r>
        <w:t xml:space="preserve">176. </w:t>
      </w:r>
      <w:r>
        <w:tab/>
        <w:t xml:space="preserve">Lecker SH, Jagoe RT, Gilbert A, et al. Multiple types of skeletal muscle atrophy involve a common program of changes in gene expression. </w:t>
      </w:r>
      <w:r>
        <w:rPr>
          <w:i/>
          <w:iCs/>
        </w:rPr>
        <w:t>FASEB j</w:t>
      </w:r>
      <w:r>
        <w:t>. 2004;18(1):39-51. doi:10.1096/fj.03-0610com</w:t>
      </w:r>
    </w:p>
    <w:p w14:paraId="4ADC7034" w14:textId="77777777" w:rsidR="007C5A51" w:rsidRDefault="007C5A51" w:rsidP="007C5A51">
      <w:pPr>
        <w:pStyle w:val="Bibliography"/>
      </w:pPr>
      <w:r>
        <w:t xml:space="preserve">177. </w:t>
      </w:r>
      <w:r>
        <w:tab/>
        <w:t xml:space="preserve">Sacheck JM, Hyatt JPK, Raffaello A, et al. Rapid disuse and denervation atrophy involve transcriptional changes similar to those of muscle wasting during systemic diseases. </w:t>
      </w:r>
      <w:r>
        <w:rPr>
          <w:i/>
          <w:iCs/>
        </w:rPr>
        <w:t>The FASEB Journal</w:t>
      </w:r>
      <w:r>
        <w:t>. 2007;21(1):140-155. doi:10.1096/fj.06-6604com</w:t>
      </w:r>
    </w:p>
    <w:p w14:paraId="05C94765" w14:textId="77777777" w:rsidR="007C5A51" w:rsidRDefault="007C5A51" w:rsidP="007C5A51">
      <w:pPr>
        <w:pStyle w:val="Bibliography"/>
      </w:pPr>
      <w:r>
        <w:t xml:space="preserve">178. </w:t>
      </w:r>
      <w:r>
        <w:tab/>
        <w:t xml:space="preserve">McFarlane C, Plummer E, Thomas M, et al. Myostatin induces cachexia by activating the ubiquitin proteolytic system through an NF-κB-independent, FoxO1-dependent mechanism. </w:t>
      </w:r>
      <w:r>
        <w:rPr>
          <w:i/>
          <w:iCs/>
        </w:rPr>
        <w:t>Journal of Cellular Physiology</w:t>
      </w:r>
      <w:r>
        <w:t>. 2006;209(2):501-514. doi:10.1002/jcp.20757</w:t>
      </w:r>
    </w:p>
    <w:p w14:paraId="15C4B2A1" w14:textId="77777777" w:rsidR="007C5A51" w:rsidRDefault="007C5A51" w:rsidP="007C5A51">
      <w:pPr>
        <w:pStyle w:val="Bibliography"/>
      </w:pPr>
      <w:r>
        <w:t xml:space="preserve">179. </w:t>
      </w:r>
      <w:r>
        <w:tab/>
        <w:t xml:space="preserve">Patel K, Amthor H. The function of Myostatin and strategies of Myostatin blockade—new hope for therapies aimed at promoting growth of skeletal muscle. </w:t>
      </w:r>
      <w:r>
        <w:rPr>
          <w:i/>
          <w:iCs/>
        </w:rPr>
        <w:t>Neuromuscular Disorders</w:t>
      </w:r>
      <w:r>
        <w:t>. 2005;15(2):117-126. doi:10.1016/j.nmd.2004.10.018</w:t>
      </w:r>
    </w:p>
    <w:p w14:paraId="36058229" w14:textId="77777777" w:rsidR="007C5A51" w:rsidRDefault="007C5A51" w:rsidP="007C5A51">
      <w:pPr>
        <w:pStyle w:val="Bibliography"/>
      </w:pPr>
      <w:r>
        <w:t xml:space="preserve">180. </w:t>
      </w:r>
      <w:r>
        <w:tab/>
        <w:t xml:space="preserve">Goodman CA, McNally RM, Hoffmann FM, Hornberger TA. Smad3 Induces Atrogin-1, Inhibits mTOR and Protein Synthesis, and Promotes Muscle Atrophy In Vivo. </w:t>
      </w:r>
      <w:r>
        <w:rPr>
          <w:i/>
          <w:iCs/>
        </w:rPr>
        <w:t>Mol Endocrinol</w:t>
      </w:r>
      <w:r>
        <w:t>. 2013;27(11):1946-1957. doi:10.1210/me.2013-1194</w:t>
      </w:r>
    </w:p>
    <w:p w14:paraId="0C5F372A" w14:textId="77777777" w:rsidR="007C5A51" w:rsidRDefault="007C5A51" w:rsidP="007C5A51">
      <w:pPr>
        <w:pStyle w:val="Bibliography"/>
      </w:pPr>
      <w:r>
        <w:t xml:space="preserve">181. </w:t>
      </w:r>
      <w:r>
        <w:tab/>
        <w:t xml:space="preserve">Zhao J, Brault JJ, Schild A, et al. FoxO3 coordinately activates protein degradation by the autophagic/lysosomal and proteasomal pathways in atrophying muscle cells. </w:t>
      </w:r>
      <w:r>
        <w:rPr>
          <w:i/>
          <w:iCs/>
        </w:rPr>
        <w:t>Cell Metab</w:t>
      </w:r>
      <w:r>
        <w:t>. 2007;6(6):472-483. doi:10.1016/j.cmet.2007.11.004</w:t>
      </w:r>
    </w:p>
    <w:p w14:paraId="3BD3F8AF" w14:textId="77777777" w:rsidR="007C5A51" w:rsidRDefault="007C5A51" w:rsidP="007C5A51">
      <w:pPr>
        <w:pStyle w:val="Bibliography"/>
      </w:pPr>
      <w:r>
        <w:t xml:space="preserve">182. </w:t>
      </w:r>
      <w:r>
        <w:tab/>
        <w:t xml:space="preserve">Bollinger LM, Witczak CA, Houmard JA, Brault JJ. SMAD3 augments FoxO3-induced MuRF-1 promoter activity in a DNA-binding-dependent manner. </w:t>
      </w:r>
      <w:r>
        <w:rPr>
          <w:i/>
          <w:iCs/>
        </w:rPr>
        <w:t>American Journal of Physiology-Cell Physiology</w:t>
      </w:r>
      <w:r>
        <w:t>. 2014;307(3):C278-C287. doi:10.1152/ajpcell.00391.2013</w:t>
      </w:r>
    </w:p>
    <w:p w14:paraId="4DF834C7" w14:textId="77777777" w:rsidR="007C5A51" w:rsidRDefault="007C5A51" w:rsidP="007C5A51">
      <w:pPr>
        <w:pStyle w:val="Bibliography"/>
      </w:pPr>
      <w:r>
        <w:t xml:space="preserve">183. </w:t>
      </w:r>
      <w:r>
        <w:tab/>
        <w:t xml:space="preserve">Sandri M, Sandri C, Gilbert A, et al. Foxo Transcription Factors Induce the Atrophy-Related Ubiquitin Ligase Atrogin-1 and Cause Skeletal Muscle Atrophy. </w:t>
      </w:r>
      <w:r>
        <w:rPr>
          <w:i/>
          <w:iCs/>
        </w:rPr>
        <w:t>Cell</w:t>
      </w:r>
      <w:r>
        <w:t>. 2004;117(3):399-412. doi:10.1016/S0092-8674(04)00400-3</w:t>
      </w:r>
    </w:p>
    <w:p w14:paraId="460DA304" w14:textId="77777777" w:rsidR="007C5A51" w:rsidRDefault="007C5A51" w:rsidP="007C5A51">
      <w:pPr>
        <w:pStyle w:val="Bibliography"/>
      </w:pPr>
      <w:r>
        <w:t xml:space="preserve">184. </w:t>
      </w:r>
      <w:r>
        <w:tab/>
        <w:t xml:space="preserve">Mendias CL, Lynch EB, Davis ME, et al. Changes in Circulating Biomarkers of Muscle Atrophy, Inflammation, and Cartilage Turnover in Patients Undergoing Anterior Cruciate Ligament Reconstruction and Rehabilitation. </w:t>
      </w:r>
      <w:r>
        <w:rPr>
          <w:i/>
          <w:iCs/>
        </w:rPr>
        <w:t>Am J Sports Med</w:t>
      </w:r>
      <w:r>
        <w:t>. 2013;41(8):1819-1826. doi:10.1177/0363546513490651</w:t>
      </w:r>
    </w:p>
    <w:p w14:paraId="14339970" w14:textId="77777777" w:rsidR="007C5A51" w:rsidRDefault="007C5A51" w:rsidP="007C5A51">
      <w:pPr>
        <w:pStyle w:val="Bibliography"/>
      </w:pPr>
      <w:r>
        <w:t xml:space="preserve">185. </w:t>
      </w:r>
      <w:r>
        <w:tab/>
        <w:t xml:space="preserve">Lalani R, Bhasin S, Byhower F, et al. Myostatin and insulin-like growth factor-I and -II expression in the muscle of rats exposed to the microgravity environment of the NeuroLab space shuttle flight. </w:t>
      </w:r>
      <w:r>
        <w:rPr>
          <w:i/>
          <w:iCs/>
        </w:rPr>
        <w:t>Journal of Endocrinology</w:t>
      </w:r>
      <w:r>
        <w:t>. 2000;167(3):417-428. doi:10.1677/joe.0.1670417</w:t>
      </w:r>
    </w:p>
    <w:p w14:paraId="1A920E05" w14:textId="77777777" w:rsidR="007C5A51" w:rsidRDefault="007C5A51" w:rsidP="007C5A51">
      <w:pPr>
        <w:pStyle w:val="Bibliography"/>
      </w:pPr>
      <w:r>
        <w:t xml:space="preserve">186. </w:t>
      </w:r>
      <w:r>
        <w:tab/>
        <w:t xml:space="preserve">Wehling M, Cai B, James, Tidball G. Modulation of myostatin expression during modified muscle use. </w:t>
      </w:r>
      <w:r>
        <w:rPr>
          <w:i/>
          <w:iCs/>
        </w:rPr>
        <w:t>FASEB Journal</w:t>
      </w:r>
      <w:r>
        <w:t>. 2000;14:103-110.</w:t>
      </w:r>
    </w:p>
    <w:p w14:paraId="70308F5C" w14:textId="77777777" w:rsidR="007C5A51" w:rsidRDefault="007C5A51" w:rsidP="007C5A51">
      <w:pPr>
        <w:pStyle w:val="Bibliography"/>
      </w:pPr>
      <w:r>
        <w:t xml:space="preserve">187. </w:t>
      </w:r>
      <w:r>
        <w:tab/>
        <w:t xml:space="preserve">Kostyo JL, Redmond AF. Role of protein synthesis in the inhibitory action of adrenal steroid hormones on amino acid transport by muscle. </w:t>
      </w:r>
      <w:r>
        <w:rPr>
          <w:i/>
          <w:iCs/>
        </w:rPr>
        <w:t>Endocrinology</w:t>
      </w:r>
      <w:r>
        <w:t>. 1966;73(3):531-540. doi:10.1210/endo-79-3-531</w:t>
      </w:r>
    </w:p>
    <w:p w14:paraId="11F8A972" w14:textId="77777777" w:rsidR="007C5A51" w:rsidRDefault="007C5A51" w:rsidP="007C5A51">
      <w:pPr>
        <w:pStyle w:val="Bibliography"/>
      </w:pPr>
      <w:r>
        <w:t xml:space="preserve">188. </w:t>
      </w:r>
      <w:r>
        <w:tab/>
        <w:t xml:space="preserve">Gayan-Ramirez G, Vanderhoydonc F, Verhoeven G, Decramer M. Acute Treatment with Corticosteroids Decreases IGF-1 and IGF-2 Expression in the Rat Diaphragm and Gastrocnemius. </w:t>
      </w:r>
      <w:r>
        <w:rPr>
          <w:i/>
          <w:iCs/>
        </w:rPr>
        <w:t>Am J Respir Crit Care Med</w:t>
      </w:r>
      <w:r>
        <w:t>. 1999;159(1):283-289. doi:10.1164/ajrccm.159.1.9803021</w:t>
      </w:r>
    </w:p>
    <w:p w14:paraId="0B8938FC" w14:textId="77777777" w:rsidR="007C5A51" w:rsidRDefault="007C5A51" w:rsidP="007C5A51">
      <w:pPr>
        <w:pStyle w:val="Bibliography"/>
      </w:pPr>
      <w:r>
        <w:t xml:space="preserve">189. </w:t>
      </w:r>
      <w:r>
        <w:tab/>
        <w:t xml:space="preserve">Inder WJ, Jang C, Obeyesekere VR, Alford FP. Dexamethasone administration inhibits skeletal muscle expression of the androgen receptor and IGF-1 – implications for steroid-induced myopathy. </w:t>
      </w:r>
      <w:r>
        <w:rPr>
          <w:i/>
          <w:iCs/>
        </w:rPr>
        <w:t>Clinical Endocrinology</w:t>
      </w:r>
      <w:r>
        <w:t>. 2010;73(1):126-132. doi:10.1111/j.1365-2265.2009.03683.x</w:t>
      </w:r>
    </w:p>
    <w:p w14:paraId="2A5BC25D" w14:textId="77777777" w:rsidR="007C5A51" w:rsidRDefault="007C5A51" w:rsidP="007C5A51">
      <w:pPr>
        <w:pStyle w:val="Bibliography"/>
      </w:pPr>
      <w:r>
        <w:t xml:space="preserve">190. </w:t>
      </w:r>
      <w:r>
        <w:tab/>
        <w:t xml:space="preserve">Nakao R, Hirasaka K, Goto J, et al. Ubiquitin ligase Cbl-b is a negative regulator for insulin-like growth factor 1 signaling during muscle atrophy caused by unloading. </w:t>
      </w:r>
      <w:r>
        <w:rPr>
          <w:i/>
          <w:iCs/>
        </w:rPr>
        <w:t>Mol Cell Biol</w:t>
      </w:r>
      <w:r>
        <w:t>. 2009;29(17):4798-4811. doi:10.1128/MCB.01347-08</w:t>
      </w:r>
    </w:p>
    <w:p w14:paraId="1D3C20B6" w14:textId="77777777" w:rsidR="007C5A51" w:rsidRDefault="007C5A51" w:rsidP="007C5A51">
      <w:pPr>
        <w:pStyle w:val="Bibliography"/>
      </w:pPr>
      <w:r>
        <w:t xml:space="preserve">191. </w:t>
      </w:r>
      <w:r>
        <w:tab/>
        <w:t xml:space="preserve">Schakman O, Kalista S, Barbé C, Loumaye A, Thissen JP. Glucocorticoid-induced skeletal muscle atrophy. </w:t>
      </w:r>
      <w:r>
        <w:rPr>
          <w:i/>
          <w:iCs/>
        </w:rPr>
        <w:t>The International Journal of Biochemistry &amp; Cell Biology</w:t>
      </w:r>
      <w:r>
        <w:t>. 2013;45(10):2163-2172. doi:10.1016/j.biocel.2013.05.036</w:t>
      </w:r>
    </w:p>
    <w:p w14:paraId="26BF9F11" w14:textId="77777777" w:rsidR="007C5A51" w:rsidRDefault="007C5A51" w:rsidP="007C5A51">
      <w:pPr>
        <w:pStyle w:val="Bibliography"/>
      </w:pPr>
      <w:r>
        <w:t xml:space="preserve">192. </w:t>
      </w:r>
      <w:r>
        <w:tab/>
        <w:t xml:space="preserve">Ma K, Mallidis C, Artaza J, Taylor W, Gonzalez-Cadavid N, Bhasin S. Characterization of 5′-regulatory region of human  myostatin gene: regulation by dexamethasone in vitro. </w:t>
      </w:r>
      <w:r>
        <w:rPr>
          <w:i/>
          <w:iCs/>
        </w:rPr>
        <w:t>American Journal of Physiology-Endocrinology and Metabolism</w:t>
      </w:r>
      <w:r>
        <w:t>. 2001;281(6):E1128-E1136. doi:10.1152/ajpendo.2001.281.6.E1128</w:t>
      </w:r>
    </w:p>
    <w:p w14:paraId="20460474" w14:textId="77777777" w:rsidR="007C5A51" w:rsidRDefault="007C5A51" w:rsidP="007C5A51">
      <w:pPr>
        <w:pStyle w:val="Bibliography"/>
      </w:pPr>
      <w:r>
        <w:t xml:space="preserve">193. </w:t>
      </w:r>
      <w:r>
        <w:tab/>
        <w:t xml:space="preserve">Ma K, Mallidis C, Bhasin S, et al. Glucocorticoid-induced skeletal muscle atrophy is associated with upregulation of myostatin gene expression. </w:t>
      </w:r>
      <w:r>
        <w:rPr>
          <w:i/>
          <w:iCs/>
        </w:rPr>
        <w:t>American journal of physiology Endocrinology and metabolism</w:t>
      </w:r>
      <w:r>
        <w:t>. 2003;285(2):NaN-NaN. doi:10.1152/ajpendo.00487.2002</w:t>
      </w:r>
    </w:p>
    <w:p w14:paraId="39258F3D" w14:textId="77777777" w:rsidR="007C5A51" w:rsidRDefault="007C5A51" w:rsidP="007C5A51">
      <w:pPr>
        <w:pStyle w:val="Bibliography"/>
      </w:pPr>
      <w:r>
        <w:t xml:space="preserve">194. </w:t>
      </w:r>
      <w:r>
        <w:tab/>
        <w:t xml:space="preserve">Qin J, Du R, Yang YQ, et al. Dexamethasone-induced skeletal muscle atrophy was associated with upregulation of myostatin promoter activity. </w:t>
      </w:r>
      <w:r>
        <w:rPr>
          <w:i/>
          <w:iCs/>
        </w:rPr>
        <w:t>Research in Veterinary Science</w:t>
      </w:r>
      <w:r>
        <w:t>. 2013;94(1):84-89. doi:10.1016/j.rvsc.2012.07.018</w:t>
      </w:r>
    </w:p>
    <w:p w14:paraId="70F4DA5E" w14:textId="77777777" w:rsidR="007C5A51" w:rsidRDefault="007C5A51" w:rsidP="007C5A51">
      <w:pPr>
        <w:pStyle w:val="Bibliography"/>
      </w:pPr>
      <w:r>
        <w:t xml:space="preserve">195. </w:t>
      </w:r>
      <w:r>
        <w:tab/>
        <w:t xml:space="preserve">Gilson H, Schakman O, Combaret L, et al. Myostatin Gene Deletion Prevents Glucocorticoid-Induced Muscle Atrophy. </w:t>
      </w:r>
      <w:r>
        <w:rPr>
          <w:i/>
          <w:iCs/>
        </w:rPr>
        <w:t>Endocrinology</w:t>
      </w:r>
      <w:r>
        <w:t>. 2007;148(1):452-460. doi:10.1210/en.2006-0539</w:t>
      </w:r>
    </w:p>
    <w:p w14:paraId="7C6A45BA" w14:textId="77777777" w:rsidR="007C5A51" w:rsidRDefault="007C5A51" w:rsidP="007C5A51">
      <w:pPr>
        <w:pStyle w:val="Bibliography"/>
      </w:pPr>
      <w:r>
        <w:t xml:space="preserve">196. </w:t>
      </w:r>
      <w:r>
        <w:tab/>
        <w:t xml:space="preserve">Yin HN, Chai JK, Yu YM, et al. Regulation of Signaling Pathways Downstream of IGF-I/Insulin by Androgen in Skeletal Muscle of Glucocorticoid-Treated Rats: </w:t>
      </w:r>
      <w:r>
        <w:rPr>
          <w:i/>
          <w:iCs/>
        </w:rPr>
        <w:t>The Journal of Trauma: Injury, Infection, and Critical Care</w:t>
      </w:r>
      <w:r>
        <w:t>. 2009;66(4):1083-1090. doi:10.1097/TA.0b013e31817e7420</w:t>
      </w:r>
    </w:p>
    <w:p w14:paraId="1401DAE6" w14:textId="77777777" w:rsidR="007C5A51" w:rsidRDefault="007C5A51" w:rsidP="007C5A51">
      <w:pPr>
        <w:pStyle w:val="Bibliography"/>
      </w:pPr>
      <w:r>
        <w:t xml:space="preserve">197. </w:t>
      </w:r>
      <w:r>
        <w:tab/>
        <w:t xml:space="preserve">Yamamoto D, Maki T, Herningtyas EH, et al. Branched-chain amino acids protect against dexamethasone-induced soleus muscle atrophy in rats. </w:t>
      </w:r>
      <w:r>
        <w:rPr>
          <w:i/>
          <w:iCs/>
        </w:rPr>
        <w:t>Muscle Nerve</w:t>
      </w:r>
      <w:r>
        <w:t>. 2010;41(6):819-827. doi:10.1002/mus.21621</w:t>
      </w:r>
    </w:p>
    <w:p w14:paraId="26375371" w14:textId="77777777" w:rsidR="007C5A51" w:rsidRDefault="007C5A51" w:rsidP="007C5A51">
      <w:pPr>
        <w:pStyle w:val="Bibliography"/>
      </w:pPr>
      <w:r>
        <w:t xml:space="preserve">198. </w:t>
      </w:r>
      <w:r>
        <w:tab/>
        <w:t xml:space="preserve">Garrett CG, Coleman JR, Reinisch L. Comparative histology and vibration of the vocal folds: Implications for experimental studies in microlaryngeal surgery. </w:t>
      </w:r>
      <w:r>
        <w:rPr>
          <w:i/>
          <w:iCs/>
        </w:rPr>
        <w:t>The Laryngoscope</w:t>
      </w:r>
      <w:r>
        <w:t>. 2000;110(5):814-824. doi:10.1097/00005537-200005000-00011</w:t>
      </w:r>
    </w:p>
    <w:p w14:paraId="3388DE22" w14:textId="77777777" w:rsidR="007C5A51" w:rsidRDefault="007C5A51" w:rsidP="007C5A51">
      <w:pPr>
        <w:pStyle w:val="Bibliography"/>
      </w:pPr>
      <w:r>
        <w:t xml:space="preserve">199. </w:t>
      </w:r>
      <w:r>
        <w:tab/>
        <w:t xml:space="preserve">Maytag AL, Robitaille MJ, Rieves AL, Madsen J, Smith BL, Jiang JJ. Use of the rabbit larynx in an excised larynx setup. </w:t>
      </w:r>
      <w:r>
        <w:rPr>
          <w:i/>
          <w:iCs/>
        </w:rPr>
        <w:t>Journal of Voice</w:t>
      </w:r>
      <w:r>
        <w:t>. 2013;27(1):24-28. doi:10.1016/j.jvoice.2012.08.004</w:t>
      </w:r>
    </w:p>
    <w:p w14:paraId="24BE8E27" w14:textId="77777777" w:rsidR="007C5A51" w:rsidRDefault="007C5A51" w:rsidP="007C5A51">
      <w:pPr>
        <w:pStyle w:val="Bibliography"/>
      </w:pPr>
      <w:r>
        <w:t xml:space="preserve">200. </w:t>
      </w:r>
      <w:r>
        <w:tab/>
        <w:t xml:space="preserve">Alipour F, Jaiswal S, Vigmostad S. Vocal fold elasticity in the pig, sheep, and cow larynges. </w:t>
      </w:r>
      <w:r>
        <w:rPr>
          <w:i/>
          <w:iCs/>
        </w:rPr>
        <w:t>Journal of Voice</w:t>
      </w:r>
      <w:r>
        <w:t>. 2011;25(2):130-136. doi:10.1016/j.jvoice.2009.09.002</w:t>
      </w:r>
    </w:p>
    <w:p w14:paraId="3D6032CE" w14:textId="77777777" w:rsidR="007C5A51" w:rsidRDefault="007C5A51" w:rsidP="007C5A51">
      <w:pPr>
        <w:pStyle w:val="Bibliography"/>
      </w:pPr>
      <w:r>
        <w:t xml:space="preserve">201. </w:t>
      </w:r>
      <w:r>
        <w:tab/>
        <w:t xml:space="preserve">Jiang JJ, Raviv JR, Hanson DG. Comparison of the phonation-related structures among pig, dog, white-tailed deer, and human larynges. </w:t>
      </w:r>
      <w:r>
        <w:rPr>
          <w:i/>
          <w:iCs/>
        </w:rPr>
        <w:t>Ann Otol Rhinol Laryngol</w:t>
      </w:r>
      <w:r>
        <w:t>. 2001;110(12):1120-1125. doi:10.1177/000348940111001207</w:t>
      </w:r>
    </w:p>
    <w:p w14:paraId="2E89CB00" w14:textId="77777777" w:rsidR="007C5A51" w:rsidRDefault="007C5A51" w:rsidP="007C5A51">
      <w:pPr>
        <w:pStyle w:val="Bibliography"/>
      </w:pPr>
      <w:r>
        <w:t xml:space="preserve">202. </w:t>
      </w:r>
      <w:r>
        <w:tab/>
        <w:t xml:space="preserve">Ge PJ, French LC, Ohno T, Zealear DL, Rousseau B. Model of evoked rabbit phonation. </w:t>
      </w:r>
      <w:r>
        <w:rPr>
          <w:i/>
          <w:iCs/>
        </w:rPr>
        <w:t>Annals of Otology, Rhinology and Laryngology</w:t>
      </w:r>
      <w:r>
        <w:t>. 2009;118(1):51-55. doi:10.1177/000348940911800109</w:t>
      </w:r>
    </w:p>
    <w:p w14:paraId="773D8162" w14:textId="77777777" w:rsidR="007C5A51" w:rsidRDefault="007C5A51" w:rsidP="007C5A51">
      <w:pPr>
        <w:pStyle w:val="Bibliography"/>
      </w:pPr>
      <w:r>
        <w:t xml:space="preserve">203. </w:t>
      </w:r>
      <w:r>
        <w:tab/>
        <w:t xml:space="preserve">Swanson ER, Abdollahian D, Ohno T, Ge P, Zealear DL, Rousseau B. Characterization of raised phonation in an evoked rabbit phonation model. </w:t>
      </w:r>
      <w:r>
        <w:rPr>
          <w:i/>
          <w:iCs/>
        </w:rPr>
        <w:t>The Laryngoscope</w:t>
      </w:r>
      <w:r>
        <w:t>. 2009;119(7):1439-1443. doi:10.1002/lary.20532</w:t>
      </w:r>
    </w:p>
    <w:p w14:paraId="0D998A42" w14:textId="77777777" w:rsidR="007C5A51" w:rsidRDefault="007C5A51" w:rsidP="007C5A51">
      <w:pPr>
        <w:pStyle w:val="Bibliography"/>
      </w:pPr>
      <w:r>
        <w:t xml:space="preserve">204. </w:t>
      </w:r>
      <w:r>
        <w:tab/>
        <w:t xml:space="preserve">Swanson ER, Ohno T, Abdollahian D, Rousseau B. Effects of raised-intensity phonation on inflammatory mediator gene expression in normal rabbit vocal fold. </w:t>
      </w:r>
      <w:r>
        <w:rPr>
          <w:i/>
          <w:iCs/>
        </w:rPr>
        <w:t>Otolaryngology–Head and Neck Surgery</w:t>
      </w:r>
      <w:r>
        <w:t>. 2010;143(4):567-572. doi:10.1016/j.otohns.2010.04.264</w:t>
      </w:r>
    </w:p>
    <w:p w14:paraId="5659D0FB" w14:textId="77777777" w:rsidR="007C5A51" w:rsidRDefault="007C5A51" w:rsidP="007C5A51">
      <w:pPr>
        <w:pStyle w:val="Bibliography"/>
      </w:pPr>
      <w:r>
        <w:t xml:space="preserve">205. </w:t>
      </w:r>
      <w:r>
        <w:tab/>
        <w:t xml:space="preserve">Novaleski CK, Kimball EE, Mizuta M, Rousseau B. Acute exposure to vibration is an apoptosis‐inducing stimulus in the vocal fold epithelium. </w:t>
      </w:r>
      <w:r>
        <w:rPr>
          <w:i/>
          <w:iCs/>
        </w:rPr>
        <w:t>Tissue and Cell</w:t>
      </w:r>
      <w:r>
        <w:t>. 2016;48(5):407-416. doi:10.1016/j.tice.2016.08.007</w:t>
      </w:r>
    </w:p>
    <w:p w14:paraId="4EB30034" w14:textId="77777777" w:rsidR="007C5A51" w:rsidRDefault="007C5A51" w:rsidP="007C5A51">
      <w:pPr>
        <w:pStyle w:val="Bibliography"/>
      </w:pPr>
      <w:r>
        <w:t xml:space="preserve">206. </w:t>
      </w:r>
      <w:r>
        <w:tab/>
        <w:t xml:space="preserve">Kurita S. A comparative study of the layer structure of the vocal fold. </w:t>
      </w:r>
      <w:r>
        <w:rPr>
          <w:i/>
          <w:iCs/>
        </w:rPr>
        <w:t>Jibi To Rinsho Kai</w:t>
      </w:r>
      <w:r>
        <w:t>. 1981;28(4):3-21.</w:t>
      </w:r>
    </w:p>
    <w:p w14:paraId="441BAE9F" w14:textId="77777777" w:rsidR="007C5A51" w:rsidRDefault="007C5A51" w:rsidP="007C5A51">
      <w:pPr>
        <w:pStyle w:val="Bibliography"/>
      </w:pPr>
      <w:r>
        <w:t xml:space="preserve">207. </w:t>
      </w:r>
      <w:r>
        <w:tab/>
        <w:t xml:space="preserve">Gray SD, Hammond TH. </w:t>
      </w:r>
      <w:r>
        <w:rPr>
          <w:i/>
          <w:iCs/>
        </w:rPr>
        <w:t>BIOMECHANICAL AND HISTOLOGIC OBSERVATIONS OF VOCAL FOLD FIBROUS PROTEINS</w:t>
      </w:r>
      <w:r>
        <w:t>.; 2000. https://journals.sagepub.com/doi/pdf/10.1177/000348940010900115</w:t>
      </w:r>
    </w:p>
    <w:p w14:paraId="7506DA88" w14:textId="77777777" w:rsidR="007C5A51" w:rsidRDefault="007C5A51" w:rsidP="007C5A51">
      <w:pPr>
        <w:pStyle w:val="Bibliography"/>
      </w:pPr>
      <w:r>
        <w:t xml:space="preserve">208. </w:t>
      </w:r>
      <w:r>
        <w:tab/>
        <w:t xml:space="preserve">Bless DM, Welham NV. Characterization of vocal fold scar formation, prophylaxis, and treatment using animal models. </w:t>
      </w:r>
      <w:r>
        <w:rPr>
          <w:i/>
          <w:iCs/>
        </w:rPr>
        <w:t>Current Opinion in Otolaryngology &amp; Head and Neck Surgery</w:t>
      </w:r>
      <w:r>
        <w:t>. 2010;18(6):481-486. doi:10.1097/MOO.0b013e3283407d87</w:t>
      </w:r>
    </w:p>
    <w:p w14:paraId="22FA8C45" w14:textId="77777777" w:rsidR="007C5A51" w:rsidRDefault="007C5A51" w:rsidP="007C5A51">
      <w:pPr>
        <w:pStyle w:val="Bibliography"/>
      </w:pPr>
      <w:r>
        <w:t xml:space="preserve">209. </w:t>
      </w:r>
      <w:r>
        <w:tab/>
        <w:t xml:space="preserve">Govil N, Rafii BY, Paul BC, Ruiz R, Amin MR, Branski RC. Glucocorticoids for vocal fold disease: A survey of otolaryngologists. </w:t>
      </w:r>
      <w:r>
        <w:rPr>
          <w:i/>
          <w:iCs/>
        </w:rPr>
        <w:t>Journal of Voice</w:t>
      </w:r>
      <w:r>
        <w:t>. 2014;28(1):82-87. doi:10.1016/j.jvoice.2013.04.015</w:t>
      </w:r>
    </w:p>
    <w:p w14:paraId="00E3E619" w14:textId="77777777" w:rsidR="007C5A51" w:rsidRDefault="007C5A51" w:rsidP="007C5A51">
      <w:pPr>
        <w:pStyle w:val="Bibliography"/>
      </w:pPr>
      <w:r>
        <w:t xml:space="preserve">210. </w:t>
      </w:r>
      <w:r>
        <w:tab/>
        <w:t xml:space="preserve">Cope D, Bova R. Steroids in Otolaryngology: </w:t>
      </w:r>
      <w:r>
        <w:rPr>
          <w:i/>
          <w:iCs/>
        </w:rPr>
        <w:t>The Laryngoscope</w:t>
      </w:r>
      <w:r>
        <w:t>. 2008;118(9):1556-1560. doi:10.1097/MLG.0b013e31817c0b4d</w:t>
      </w:r>
    </w:p>
    <w:p w14:paraId="41FEF4F2" w14:textId="77777777" w:rsidR="007C5A51" w:rsidRDefault="007C5A51" w:rsidP="007C5A51">
      <w:pPr>
        <w:pStyle w:val="Bibliography"/>
      </w:pPr>
      <w:r>
        <w:t xml:space="preserve">211. </w:t>
      </w:r>
      <w:r>
        <w:tab/>
        <w:t xml:space="preserve">Mortensen M. Laryngeal steroid injection for vocal fold scar. </w:t>
      </w:r>
      <w:r>
        <w:rPr>
          <w:i/>
          <w:iCs/>
        </w:rPr>
        <w:t>Current Opinion in Otolaryngology and Head and Neck Surgery</w:t>
      </w:r>
      <w:r>
        <w:t>. 2010;18(6):487-491. doi:10.1097/MOO.0b013e32833fe112</w:t>
      </w:r>
    </w:p>
    <w:p w14:paraId="6D07B3AA" w14:textId="77777777" w:rsidR="007C5A51" w:rsidRDefault="007C5A51" w:rsidP="007C5A51">
      <w:pPr>
        <w:pStyle w:val="Bibliography"/>
      </w:pPr>
      <w:r>
        <w:t xml:space="preserve">212. </w:t>
      </w:r>
      <w:r>
        <w:tab/>
        <w:t xml:space="preserve">Baehr LM, Furlow JD, Bodine SC. Muscle sparing in muscle RING finger 1 null mice: response to synthetic glucocorticoids. </w:t>
      </w:r>
      <w:r>
        <w:rPr>
          <w:i/>
          <w:iCs/>
        </w:rPr>
        <w:t>J Physiol (Lond)</w:t>
      </w:r>
      <w:r>
        <w:t>. 2011;589(Pt 19):4759-4776. doi:10.1113/jphysiol.2011.212845</w:t>
      </w:r>
    </w:p>
    <w:p w14:paraId="5B847E90" w14:textId="77777777" w:rsidR="007C5A51" w:rsidRDefault="007C5A51" w:rsidP="007C5A51">
      <w:pPr>
        <w:pStyle w:val="Bibliography"/>
      </w:pPr>
      <w:r>
        <w:t xml:space="preserve">213. </w:t>
      </w:r>
      <w:r>
        <w:tab/>
        <w:t xml:space="preserve">Suehiro A, Bock JM, Hall JE, Gaelyn Garrett C, Rousseau B. Feasibility and acute healing of vocal fold microflap incisions in a rabbit model. </w:t>
      </w:r>
      <w:r>
        <w:rPr>
          <w:i/>
          <w:iCs/>
        </w:rPr>
        <w:t>Laryngoscope</w:t>
      </w:r>
      <w:r>
        <w:t>. 2012;122(3):600-605. doi:10.1002/lary.22470</w:t>
      </w:r>
    </w:p>
    <w:p w14:paraId="04F83342" w14:textId="77777777" w:rsidR="007C5A51" w:rsidRDefault="007C5A51" w:rsidP="007C5A51">
      <w:pPr>
        <w:pStyle w:val="Bibliography"/>
      </w:pPr>
      <w:r>
        <w:t xml:space="preserve">214. </w:t>
      </w:r>
      <w:r>
        <w:tab/>
        <w:t xml:space="preserve">Kojima T, Deusen MV, Jerome WG, et al. Quantification of Acute Vocal Fold Epithelial Surface Damage with Increasing Time and Magnitude Doses of Vibration Exposure. </w:t>
      </w:r>
      <w:r>
        <w:rPr>
          <w:i/>
          <w:iCs/>
        </w:rPr>
        <w:t>PLOS ONE</w:t>
      </w:r>
      <w:r>
        <w:t>. 2014;9(3):e91615. doi:10.1371/journal.pone.0091615</w:t>
      </w:r>
    </w:p>
    <w:p w14:paraId="40D30F64" w14:textId="77777777" w:rsidR="007C5A51" w:rsidRDefault="007C5A51" w:rsidP="007C5A51">
      <w:pPr>
        <w:pStyle w:val="Bibliography"/>
      </w:pPr>
      <w:r>
        <w:t xml:space="preserve">215. </w:t>
      </w:r>
      <w:r>
        <w:tab/>
        <w:t xml:space="preserve">Lim X, Tateya I, Tateya T, Muñoz-Del-Río A, Bless DM. Immediate inflammatory response and scar formation in wounded vocal folds. </w:t>
      </w:r>
      <w:r>
        <w:rPr>
          <w:i/>
          <w:iCs/>
        </w:rPr>
        <w:t>Annals of Otology, Rhinology and Laryngology</w:t>
      </w:r>
      <w:r>
        <w:t>. 2006;115(12):921-929. doi:10.1177/000348940611501212</w:t>
      </w:r>
    </w:p>
    <w:p w14:paraId="7C0253CE" w14:textId="77777777" w:rsidR="007C5A51" w:rsidRDefault="007C5A51" w:rsidP="007C5A51">
      <w:pPr>
        <w:pStyle w:val="Bibliography"/>
      </w:pPr>
      <w:r>
        <w:t xml:space="preserve">216. </w:t>
      </w:r>
      <w:r>
        <w:tab/>
        <w:t xml:space="preserve">Rousseau B, Sohn J, Tateya I, Montequin DW, Bless DM. Functional outcomes of reduced hyaluronan in acute vocal fold scar. </w:t>
      </w:r>
      <w:r>
        <w:rPr>
          <w:i/>
          <w:iCs/>
        </w:rPr>
        <w:t>Annals of Otology, Rhinology and Laryngology</w:t>
      </w:r>
      <w:r>
        <w:t>. 2004;113(10):767-776. doi:10.1177/000348940411301001</w:t>
      </w:r>
    </w:p>
    <w:p w14:paraId="0055F5EF" w14:textId="77777777" w:rsidR="007C5A51" w:rsidRDefault="007C5A51" w:rsidP="007C5A51">
      <w:pPr>
        <w:pStyle w:val="Bibliography"/>
      </w:pPr>
      <w:r>
        <w:t xml:space="preserve">217. </w:t>
      </w:r>
      <w:r>
        <w:tab/>
        <w:t xml:space="preserve">Smith S, Ossoff JP, Coleman JR, et al. Histomorphometric and laryngeal videostroboscopic analysis of the effects of corticosteroids on microflap healing in the dog larynx. </w:t>
      </w:r>
      <w:r>
        <w:rPr>
          <w:i/>
          <w:iCs/>
        </w:rPr>
        <w:t>Annals of Otology, Rhinology and Laryngology</w:t>
      </w:r>
      <w:r>
        <w:t>. 1999;108(2):119-217 Aquaporin deletion in mice reduces intraocular pressure and aqueous fluid production. doi:10.1177/000348949910800203</w:t>
      </w:r>
    </w:p>
    <w:p w14:paraId="7CC87B1B" w14:textId="77777777" w:rsidR="007C5A51" w:rsidRDefault="007C5A51" w:rsidP="007C5A51">
      <w:pPr>
        <w:pStyle w:val="Bibliography"/>
      </w:pPr>
      <w:r>
        <w:t xml:space="preserve">218. </w:t>
      </w:r>
      <w:r>
        <w:tab/>
        <w:t xml:space="preserve">Institute of Laboratory Animal Resources (US). Committee on Care, Use of Laboratory Animals. </w:t>
      </w:r>
      <w:r>
        <w:rPr>
          <w:i/>
          <w:iCs/>
        </w:rPr>
        <w:t>Guide for the Care and Use of Laboratory Animals</w:t>
      </w:r>
      <w:r>
        <w:t>. US Department of Health and Human Services, Public Health Service, National …; 1986.</w:t>
      </w:r>
    </w:p>
    <w:p w14:paraId="3227BE3C" w14:textId="77777777" w:rsidR="007C5A51" w:rsidRDefault="007C5A51" w:rsidP="007C5A51">
      <w:pPr>
        <w:pStyle w:val="Bibliography"/>
      </w:pPr>
      <w:r>
        <w:t xml:space="preserve">219. </w:t>
      </w:r>
      <w:r>
        <w:tab/>
        <w:t>Dexamethasone 4 mg tablets - Summary of Product Characteristics (SmPC) - (emc). Accessed December 7, 2020. https://www.medicines.org.uk/emc/product/7395/smpc#gref</w:t>
      </w:r>
    </w:p>
    <w:p w14:paraId="39B9DC96" w14:textId="77777777" w:rsidR="007C5A51" w:rsidRDefault="007C5A51" w:rsidP="007C5A51">
      <w:pPr>
        <w:pStyle w:val="Bibliography"/>
      </w:pPr>
      <w:r>
        <w:t xml:space="preserve">220. </w:t>
      </w:r>
      <w:r>
        <w:tab/>
        <w:t>Methylprednisolone Dosage Guide with Precautions - Drugs.com. Accessed December 7, 2020. https://www.drugs.com/dosage/methylprednisolone.html</w:t>
      </w:r>
    </w:p>
    <w:p w14:paraId="2A5049B3" w14:textId="77777777" w:rsidR="007C5A51" w:rsidRDefault="007C5A51" w:rsidP="007C5A51">
      <w:pPr>
        <w:pStyle w:val="Bibliography"/>
      </w:pPr>
      <w:r>
        <w:t xml:space="preserve">221. </w:t>
      </w:r>
      <w:r>
        <w:tab/>
        <w:t xml:space="preserve">Howe KL, Achuthan P, Allen J, et al. Ensembl 2021. </w:t>
      </w:r>
      <w:r>
        <w:rPr>
          <w:i/>
          <w:iCs/>
        </w:rPr>
        <w:t>Nucleic Acids Research</w:t>
      </w:r>
      <w:r>
        <w:t>. 2021;49(D1):D884-D891. doi:10.1093/nar/gkaa942</w:t>
      </w:r>
    </w:p>
    <w:p w14:paraId="65281E62" w14:textId="77777777" w:rsidR="007C5A51" w:rsidRDefault="007C5A51" w:rsidP="007C5A51">
      <w:pPr>
        <w:pStyle w:val="Bibliography"/>
      </w:pPr>
      <w:r>
        <w:t xml:space="preserve">222. </w:t>
      </w:r>
      <w:r>
        <w:tab/>
        <w:t xml:space="preserve">Cohen J. Weighted kappa: Nominal scale agreement provision for scaled disagreement or partial credit. </w:t>
      </w:r>
      <w:r>
        <w:rPr>
          <w:i/>
          <w:iCs/>
        </w:rPr>
        <w:t>Psychological Bulletin</w:t>
      </w:r>
      <w:r>
        <w:t>. 1968;70(4):213-220. doi:10.1037/h0026256</w:t>
      </w:r>
    </w:p>
    <w:p w14:paraId="4F2284F2" w14:textId="77777777" w:rsidR="007C5A51" w:rsidRDefault="007C5A51" w:rsidP="007C5A51">
      <w:pPr>
        <w:pStyle w:val="Bibliography"/>
      </w:pPr>
      <w:r>
        <w:t xml:space="preserve">223. </w:t>
      </w:r>
      <w:r>
        <w:tab/>
        <w:t xml:space="preserve">Viera AJ, Garrett JM. Understanding interobserver agreement: The kappa statistic. </w:t>
      </w:r>
      <w:r>
        <w:rPr>
          <w:i/>
          <w:iCs/>
        </w:rPr>
        <w:t>Family Medicine</w:t>
      </w:r>
      <w:r>
        <w:t>. 2005;37(5):360-363.</w:t>
      </w:r>
    </w:p>
    <w:p w14:paraId="7A530E9A" w14:textId="77777777" w:rsidR="007C5A51" w:rsidRDefault="007C5A51" w:rsidP="007C5A51">
      <w:pPr>
        <w:pStyle w:val="Bibliography"/>
      </w:pPr>
      <w:r>
        <w:t xml:space="preserve">224. </w:t>
      </w:r>
      <w:r>
        <w:tab/>
        <w:t xml:space="preserve">Ahmed MER, Bando H, Hirota R, et al. Localization and regulation of aquaporins in the murine larynx. </w:t>
      </w:r>
      <w:r>
        <w:rPr>
          <w:i/>
          <w:iCs/>
        </w:rPr>
        <w:t>Acta Oto-Laryngologica</w:t>
      </w:r>
      <w:r>
        <w:t>. 2012;132(4):439-446. doi:10.3109/00016489.2011.644253</w:t>
      </w:r>
    </w:p>
    <w:p w14:paraId="5F643037" w14:textId="77777777" w:rsidR="007C5A51" w:rsidRDefault="007C5A51" w:rsidP="007C5A51">
      <w:pPr>
        <w:pStyle w:val="Bibliography"/>
      </w:pPr>
      <w:r>
        <w:t xml:space="preserve">225. </w:t>
      </w:r>
      <w:r>
        <w:tab/>
        <w:t xml:space="preserve">Zhang D, Vetrivel L, Verkman AS. Aquaporin deletion in mice reduces intraocular pressure and aqueous fluid production. </w:t>
      </w:r>
      <w:r>
        <w:rPr>
          <w:i/>
          <w:iCs/>
        </w:rPr>
        <w:t>J Gen Physiol</w:t>
      </w:r>
      <w:r>
        <w:t>. 2002;119(6):561-569. doi:10.1085/jgp.20028597</w:t>
      </w:r>
    </w:p>
    <w:p w14:paraId="219A9B01" w14:textId="77777777" w:rsidR="007C5A51" w:rsidRDefault="007C5A51" w:rsidP="007C5A51">
      <w:pPr>
        <w:pStyle w:val="Bibliography"/>
      </w:pPr>
      <w:r>
        <w:t xml:space="preserve">226. </w:t>
      </w:r>
      <w:r>
        <w:tab/>
        <w:t xml:space="preserve">Bai C, Matthay MA, Verkman AS. Lung fluid transport in aquaporin-1 and aquaporin-4 knockout mice. </w:t>
      </w:r>
      <w:r>
        <w:rPr>
          <w:i/>
          <w:iCs/>
        </w:rPr>
        <w:t>J Clin Invest</w:t>
      </w:r>
      <w:r>
        <w:t>. 1999;103(4):555. doi:10.1172/JCI4138</w:t>
      </w:r>
    </w:p>
    <w:p w14:paraId="433933DB" w14:textId="77777777" w:rsidR="007C5A51" w:rsidRDefault="007C5A51" w:rsidP="007C5A51">
      <w:pPr>
        <w:pStyle w:val="Bibliography"/>
      </w:pPr>
      <w:r>
        <w:t xml:space="preserve">227. </w:t>
      </w:r>
      <w:r>
        <w:tab/>
        <w:t xml:space="preserve">King LS, Nielsen S, Agre P, Brown RH. Decreased pulmonary vascular permeability in aquaporin-1-null humans. </w:t>
      </w:r>
      <w:r>
        <w:rPr>
          <w:i/>
          <w:iCs/>
        </w:rPr>
        <w:t>Proceedings of the National Academy of Sciences</w:t>
      </w:r>
      <w:r>
        <w:t>. 2002;99(2):1059-1063.</w:t>
      </w:r>
    </w:p>
    <w:p w14:paraId="04871EC5" w14:textId="77777777" w:rsidR="007C5A51" w:rsidRDefault="007C5A51" w:rsidP="007C5A51">
      <w:pPr>
        <w:pStyle w:val="Bibliography"/>
      </w:pPr>
      <w:r>
        <w:t xml:space="preserve">228. </w:t>
      </w:r>
      <w:r>
        <w:tab/>
        <w:t xml:space="preserve">Nielsen S, King LS, Christensen BM, Agre P. Aquaporins in complex tissues. II. Subcellular distribution in respiratory and glandular tissues of rat. </w:t>
      </w:r>
      <w:r>
        <w:rPr>
          <w:i/>
          <w:iCs/>
        </w:rPr>
        <w:t>American Journal of Physiology-Cell Physiology</w:t>
      </w:r>
      <w:r>
        <w:t>. 1997;273(5):C1549-C1561. doi:10.1152/ajpcell.1997.273.5.C1549</w:t>
      </w:r>
    </w:p>
    <w:p w14:paraId="4EB4269C" w14:textId="77777777" w:rsidR="007C5A51" w:rsidRDefault="007C5A51" w:rsidP="007C5A51">
      <w:pPr>
        <w:pStyle w:val="Bibliography"/>
      </w:pPr>
      <w:r>
        <w:t xml:space="preserve">229. </w:t>
      </w:r>
      <w:r>
        <w:tab/>
        <w:t xml:space="preserve">Song Y, Ma T, Matthay MA, Verkman AS. Role of Aquaporin-4 in Airspace-to-Capillary Water Permeability in Intact Mouse Lung Measured by a Novel Gravimetric Method. </w:t>
      </w:r>
      <w:r>
        <w:rPr>
          <w:i/>
          <w:iCs/>
        </w:rPr>
        <w:t>Journal of General Physiology</w:t>
      </w:r>
      <w:r>
        <w:t>. 2000;115(1):17-27. doi:10.1085/jgp.115.1.17</w:t>
      </w:r>
    </w:p>
    <w:p w14:paraId="703A0D9A" w14:textId="77777777" w:rsidR="007C5A51" w:rsidRDefault="007C5A51" w:rsidP="007C5A51">
      <w:pPr>
        <w:pStyle w:val="Bibliography"/>
      </w:pPr>
      <w:r>
        <w:t xml:space="preserve">230. </w:t>
      </w:r>
      <w:r>
        <w:tab/>
        <w:t xml:space="preserve">Binder DK, Oshio K, Ma T, Verkman AS, Manley GT. Increased seizure threshold in mice lacking aquaporin-4 water channels. </w:t>
      </w:r>
      <w:r>
        <w:rPr>
          <w:i/>
          <w:iCs/>
        </w:rPr>
        <w:t>NeuroReport</w:t>
      </w:r>
      <w:r>
        <w:t>. 2004;15(2):259-262.</w:t>
      </w:r>
    </w:p>
    <w:p w14:paraId="7E28D277" w14:textId="77777777" w:rsidR="007C5A51" w:rsidRDefault="007C5A51" w:rsidP="007C5A51">
      <w:pPr>
        <w:pStyle w:val="Bibliography"/>
      </w:pPr>
      <w:r>
        <w:t xml:space="preserve">231. </w:t>
      </w:r>
      <w:r>
        <w:tab/>
        <w:t xml:space="preserve">Saadoun S, Papadopoulos MC, Watanabe H, Yan D, Manley GT, Verkman AS. Involvement of aquaporin-4 in astroglial cell migration and glial scar formation. </w:t>
      </w:r>
      <w:r>
        <w:rPr>
          <w:i/>
          <w:iCs/>
        </w:rPr>
        <w:t>Journal of Cell Science</w:t>
      </w:r>
      <w:r>
        <w:t>. 2005;118(24):5691-5698. doi:10.1242/jcs.02680</w:t>
      </w:r>
    </w:p>
    <w:p w14:paraId="7F1F1371" w14:textId="77777777" w:rsidR="007C5A51" w:rsidRDefault="007C5A51" w:rsidP="007C5A51">
      <w:pPr>
        <w:pStyle w:val="Bibliography"/>
      </w:pPr>
      <w:r>
        <w:t xml:space="preserve">232. </w:t>
      </w:r>
      <w:r>
        <w:tab/>
        <w:t xml:space="preserve">Hara-Chikuma M, Sohara E, Rai T, et al. Progressive Adipocyte Hypertrophy in Aquaporin-7-deficient Mice: ADIPOCYTE GLYCEROL PERMEABILITY AS A NOVEL REGULATOR OF FAT ACCUMULATION. </w:t>
      </w:r>
      <w:r>
        <w:rPr>
          <w:i/>
          <w:iCs/>
        </w:rPr>
        <w:t>J Biol Chem</w:t>
      </w:r>
      <w:r>
        <w:t>. 2005;280(16):15493-15496. doi:10.1074/jbc.C500028200</w:t>
      </w:r>
    </w:p>
    <w:p w14:paraId="6639CBC3" w14:textId="77777777" w:rsidR="007C5A51" w:rsidRDefault="007C5A51" w:rsidP="007C5A51">
      <w:pPr>
        <w:pStyle w:val="Bibliography"/>
      </w:pPr>
      <w:r>
        <w:t xml:space="preserve">233. </w:t>
      </w:r>
      <w:r>
        <w:tab/>
        <w:t xml:space="preserve">Andersson KE, McCloskey KD. Lamina propria: The functional center of the bladder? </w:t>
      </w:r>
      <w:r>
        <w:rPr>
          <w:i/>
          <w:iCs/>
        </w:rPr>
        <w:t>Neurourology and Urodynamics</w:t>
      </w:r>
      <w:r>
        <w:t>. 2014;33(1):9-16. doi:10.1002/nau.22465</w:t>
      </w:r>
    </w:p>
    <w:p w14:paraId="524ADF77" w14:textId="77777777" w:rsidR="007C5A51" w:rsidRDefault="007C5A51" w:rsidP="007C5A51">
      <w:pPr>
        <w:pStyle w:val="Bibliography"/>
      </w:pPr>
      <w:r>
        <w:t xml:space="preserve">234. </w:t>
      </w:r>
      <w:r>
        <w:tab/>
        <w:t xml:space="preserve">Fisher KV, Telser  a, Phillips JE, Yeates DB. Regulation of vocal fold transepithelial water fluxes. </w:t>
      </w:r>
      <w:r>
        <w:rPr>
          <w:i/>
          <w:iCs/>
        </w:rPr>
        <w:t>Journal of applied physiology (Bethesda, Md : 1985)</w:t>
      </w:r>
      <w:r>
        <w:t>. 2001;91(3):1401-1411.</w:t>
      </w:r>
    </w:p>
    <w:p w14:paraId="1D6BBA17" w14:textId="77777777" w:rsidR="007C5A51" w:rsidRDefault="007C5A51" w:rsidP="007C5A51">
      <w:pPr>
        <w:pStyle w:val="Bibliography"/>
      </w:pPr>
      <w:r>
        <w:t xml:space="preserve">235. </w:t>
      </w:r>
      <w:r>
        <w:tab/>
        <w:t xml:space="preserve">Hallén L, Johansson C, Laurent C, Dahlqvist Å. Hyaluronan localization in the rabbit larynx. </w:t>
      </w:r>
      <w:r>
        <w:rPr>
          <w:i/>
          <w:iCs/>
        </w:rPr>
        <w:t>The Anatomical Record</w:t>
      </w:r>
      <w:r>
        <w:t>. 1996;246(4):441-445. doi:10.1002/(SICI)1097-0185(199612)246:4&lt;441::AID-AR3&gt;3.0.CO;2-Y</w:t>
      </w:r>
    </w:p>
    <w:p w14:paraId="48CEC05F" w14:textId="77777777" w:rsidR="007C5A51" w:rsidRDefault="007C5A51" w:rsidP="007C5A51">
      <w:pPr>
        <w:pStyle w:val="Bibliography"/>
      </w:pPr>
      <w:r>
        <w:t xml:space="preserve">236. </w:t>
      </w:r>
      <w:r>
        <w:tab/>
        <w:t xml:space="preserve">Gill GA, Buda A, Moorghen M, Dettmar PW, Pignatelli M. Characterisation of adherens and tight junctional molecules in normal animal larynx; determining a suitable model for studying molecular abnormalities in human laryngopharyngeal reflux. </w:t>
      </w:r>
      <w:r>
        <w:rPr>
          <w:i/>
          <w:iCs/>
        </w:rPr>
        <w:t>Journal of Clinical Pathology</w:t>
      </w:r>
      <w:r>
        <w:t>. 2005;58(12):1265-1270. doi:10.1136/jcp.2004.016972</w:t>
      </w:r>
    </w:p>
    <w:p w14:paraId="3EB6E94F" w14:textId="77777777" w:rsidR="007C5A51" w:rsidRDefault="007C5A51" w:rsidP="007C5A51">
      <w:pPr>
        <w:pStyle w:val="Bibliography"/>
      </w:pPr>
      <w:r>
        <w:t xml:space="preserve">237. </w:t>
      </w:r>
      <w:r>
        <w:tab/>
        <w:t xml:space="preserve">Bulmer D, Ross PE, Axford SE, et al. Cell biology of laryngeal epithelial defenses in health and disease: Further studies. </w:t>
      </w:r>
      <w:r>
        <w:rPr>
          <w:i/>
          <w:iCs/>
        </w:rPr>
        <w:t>Annals of Otology, Rhinology and Laryngology</w:t>
      </w:r>
      <w:r>
        <w:t>. 2003;112(6):481-491. doi:10.1177/000348940111001203</w:t>
      </w:r>
    </w:p>
    <w:p w14:paraId="0A214BA7" w14:textId="77777777" w:rsidR="007C5A51" w:rsidRDefault="007C5A51" w:rsidP="007C5A51">
      <w:pPr>
        <w:pStyle w:val="Bibliography"/>
      </w:pPr>
      <w:r>
        <w:t xml:space="preserve">238. </w:t>
      </w:r>
      <w:r>
        <w:tab/>
        <w:t xml:space="preserve">Kojima T, Valenzuela CV, Novaleski CK, et al. Effects of phonation time and magnitude dose on vocal fold epithelial genes, barrier integrity, and function. </w:t>
      </w:r>
      <w:r>
        <w:rPr>
          <w:i/>
          <w:iCs/>
        </w:rPr>
        <w:t>The Laryngoscope</w:t>
      </w:r>
      <w:r>
        <w:t>. 2014;124(12):2770-2778. doi:10.1002/lary.24827</w:t>
      </w:r>
    </w:p>
    <w:p w14:paraId="3A5FF1E0" w14:textId="77777777" w:rsidR="007C5A51" w:rsidRDefault="007C5A51" w:rsidP="007C5A51">
      <w:pPr>
        <w:pStyle w:val="Bibliography"/>
      </w:pPr>
      <w:r>
        <w:t xml:space="preserve">239. </w:t>
      </w:r>
      <w:r>
        <w:tab/>
        <w:t xml:space="preserve">Suzuki R, Katsuno T, Kishimoto Y, et al. Process of tight junction recovery in the injured vocal fold epithelium: Morphological and paracellular permeability analysis. </w:t>
      </w:r>
      <w:r>
        <w:rPr>
          <w:i/>
          <w:iCs/>
        </w:rPr>
        <w:t>The Laryngoscope</w:t>
      </w:r>
      <w:r>
        <w:t>. 2018;128(4):E150-E156. doi:10.1002/lary.26959</w:t>
      </w:r>
    </w:p>
    <w:p w14:paraId="0DCEFEA9" w14:textId="77777777" w:rsidR="007C5A51" w:rsidRDefault="007C5A51" w:rsidP="007C5A51">
      <w:pPr>
        <w:pStyle w:val="Bibliography"/>
      </w:pPr>
      <w:r>
        <w:t xml:space="preserve">240. </w:t>
      </w:r>
      <w:r>
        <w:tab/>
        <w:t xml:space="preserve">Ma J, Wang P, Liu Y, Zhao L, Li Z, Xue Y. Krüppel-Like Factor 4 Regulates Blood-Tumor Barrier Permeability via ZO-1, Occludin and Claudin-5. </w:t>
      </w:r>
      <w:r>
        <w:rPr>
          <w:i/>
          <w:iCs/>
        </w:rPr>
        <w:t>Journal of Cellular Physiology</w:t>
      </w:r>
      <w:r>
        <w:t>. 2014;229(7):916-926. doi:10.1002/jcp.24523</w:t>
      </w:r>
    </w:p>
    <w:p w14:paraId="590C5C87" w14:textId="77777777" w:rsidR="007C5A51" w:rsidRDefault="007C5A51" w:rsidP="007C5A51">
      <w:pPr>
        <w:pStyle w:val="Bibliography"/>
      </w:pPr>
      <w:r>
        <w:t xml:space="preserve">241. </w:t>
      </w:r>
      <w:r>
        <w:tab/>
        <w:t xml:space="preserve">Sassoon CSH, Zhu E, Pham HT, et al. Acute effects of high-dose methylprednisolone on diaphragm muscle function. </w:t>
      </w:r>
      <w:r>
        <w:rPr>
          <w:i/>
          <w:iCs/>
        </w:rPr>
        <w:t>Muscle Nerve</w:t>
      </w:r>
      <w:r>
        <w:t>. 2008;38(3):1161-1172. doi:10.1002/mus.21048</w:t>
      </w:r>
    </w:p>
    <w:p w14:paraId="4A469DA7" w14:textId="77777777" w:rsidR="007C5A51" w:rsidRDefault="007C5A51" w:rsidP="007C5A51">
      <w:pPr>
        <w:pStyle w:val="Bibliography"/>
      </w:pPr>
      <w:r>
        <w:t xml:space="preserve">242. </w:t>
      </w:r>
      <w:r>
        <w:tab/>
        <w:t xml:space="preserve">Skjærbæk C, Frystyk J, Grøfte T, et al. Serum free insulin-like growth factor-I is dose-dependently decreased by methylprednisolone and related to body weight changes in rats. </w:t>
      </w:r>
      <w:r>
        <w:rPr>
          <w:i/>
          <w:iCs/>
        </w:rPr>
        <w:t>Growth Hormone &amp; IGF Research</w:t>
      </w:r>
      <w:r>
        <w:t>. 1999;9(1):74-80. doi:10.1054/ghir.1999.0090</w:t>
      </w:r>
    </w:p>
    <w:p w14:paraId="121AFE1E" w14:textId="77777777" w:rsidR="007C5A51" w:rsidRDefault="007C5A51" w:rsidP="007C5A51">
      <w:pPr>
        <w:pStyle w:val="Bibliography"/>
      </w:pPr>
      <w:r>
        <w:t xml:space="preserve">243. </w:t>
      </w:r>
      <w:r>
        <w:tab/>
        <w:t xml:space="preserve">Won Jahng J, Kim NY, Ryu V, et al. Dexamethasone reduces food intake, weight gain and the hypothalamic 5-HT concentration and increases plasma leptin in rats. </w:t>
      </w:r>
      <w:r>
        <w:rPr>
          <w:i/>
          <w:iCs/>
        </w:rPr>
        <w:t>European Journal of Pharmacology</w:t>
      </w:r>
      <w:r>
        <w:t>. 2008;581(1-2):64-70. doi:10.1016/j.ejphar.2007.11.029</w:t>
      </w:r>
    </w:p>
    <w:p w14:paraId="30936E56" w14:textId="77777777" w:rsidR="007C5A51" w:rsidRDefault="007C5A51" w:rsidP="007C5A51">
      <w:pPr>
        <w:pStyle w:val="Bibliography"/>
      </w:pPr>
      <w:r>
        <w:t xml:space="preserve">244. </w:t>
      </w:r>
      <w:r>
        <w:tab/>
        <w:t xml:space="preserve">Liu XY, Shi JH, Du WH, et al. Glucocorticoids decrease body weight and food intake and inhibit appetite regulatory peptide expression in the hypothalamus of rats. </w:t>
      </w:r>
      <w:r>
        <w:rPr>
          <w:i/>
          <w:iCs/>
        </w:rPr>
        <w:t>Experimental and Therapeutic Medicine</w:t>
      </w:r>
      <w:r>
        <w:t>. 2011;2(5):977-984. doi:10.3892/etm.2011.292</w:t>
      </w:r>
    </w:p>
    <w:p w14:paraId="22FC9DE1" w14:textId="77777777" w:rsidR="007C5A51" w:rsidRDefault="007C5A51" w:rsidP="007C5A51">
      <w:pPr>
        <w:pStyle w:val="Bibliography"/>
      </w:pPr>
      <w:r>
        <w:t xml:space="preserve">245. </w:t>
      </w:r>
      <w:r>
        <w:tab/>
        <w:t xml:space="preserve">Zakrzewska KE, Cusin I, Stricker-Krongrad A, et al. Induction of obesity and hyperleptinemia by central glucocorticoid infusion in the rat. </w:t>
      </w:r>
      <w:r>
        <w:rPr>
          <w:i/>
          <w:iCs/>
        </w:rPr>
        <w:t>Diabetes</w:t>
      </w:r>
      <w:r>
        <w:t>. 1999;48(2):365-370. doi:10.2337/diabetes.48.2.365</w:t>
      </w:r>
    </w:p>
    <w:p w14:paraId="504182E6" w14:textId="77777777" w:rsidR="007C5A51" w:rsidRDefault="007C5A51" w:rsidP="007C5A51">
      <w:pPr>
        <w:pStyle w:val="Bibliography"/>
      </w:pPr>
      <w:r>
        <w:t xml:space="preserve">246. </w:t>
      </w:r>
      <w:r>
        <w:tab/>
        <w:t xml:space="preserve">Buchbinder R. Short course prednisolone for adhesive capsulitis (frozen shoulder or stiff painful shoulder): a randomised, double blind, placebo controlled trial. </w:t>
      </w:r>
      <w:r>
        <w:rPr>
          <w:i/>
          <w:iCs/>
        </w:rPr>
        <w:t>Annals of the Rheumatic Diseases</w:t>
      </w:r>
      <w:r>
        <w:t>. 2004;63(11):1460-1469. doi:10.1136/ard.2003.018218</w:t>
      </w:r>
    </w:p>
    <w:p w14:paraId="7C479A4D" w14:textId="77777777" w:rsidR="007C5A51" w:rsidRDefault="007C5A51" w:rsidP="007C5A51">
      <w:pPr>
        <w:pStyle w:val="Bibliography"/>
      </w:pPr>
      <w:r>
        <w:t xml:space="preserve">247. </w:t>
      </w:r>
      <w:r>
        <w:tab/>
        <w:t xml:space="preserve">Halvorsen P, Ræder J, White PF, et al. The effect of dexamethasone on side effects after coronary revascularization procedures. </w:t>
      </w:r>
      <w:r>
        <w:rPr>
          <w:i/>
          <w:iCs/>
        </w:rPr>
        <w:t>Anesthesia &amp; Analgesia</w:t>
      </w:r>
      <w:r>
        <w:t>. 2003;96(6):1578-1583.</w:t>
      </w:r>
    </w:p>
    <w:p w14:paraId="61F779A0" w14:textId="77777777" w:rsidR="007C5A51" w:rsidRDefault="007C5A51" w:rsidP="007C5A51">
      <w:pPr>
        <w:pStyle w:val="Bibliography"/>
      </w:pPr>
      <w:r>
        <w:t xml:space="preserve">248. </w:t>
      </w:r>
      <w:r>
        <w:tab/>
        <w:t xml:space="preserve">Scudamore CL, Jepson MA, Hirst BH, Hugh R, Miller P. The rat mucosal mast cell chymase, RMCP-11, alters epithelial cell monolayer permeability in association with altered distribution of the tight junction proteins ZO-1 and occludin. </w:t>
      </w:r>
      <w:r>
        <w:rPr>
          <w:i/>
          <w:iCs/>
        </w:rPr>
        <w:t>European Journal of Cell Biology</w:t>
      </w:r>
      <w:r>
        <w:t>. 1998;75(4):321-330. doi:10.1016/S0171-9335(98)80065-4</w:t>
      </w:r>
    </w:p>
    <w:p w14:paraId="6E01E07D" w14:textId="77777777" w:rsidR="007C5A51" w:rsidRDefault="007C5A51" w:rsidP="007C5A51">
      <w:pPr>
        <w:pStyle w:val="Bibliography"/>
      </w:pPr>
      <w:r>
        <w:t xml:space="preserve">249. </w:t>
      </w:r>
      <w:r>
        <w:tab/>
        <w:t xml:space="preserve">Shen ZY, Zhang J, Song HL, Zheng WP. Bone-marrow mesenchymal stem cells reduce rat intestinal ischemia-reperfusion injury, ZO-1 downregulation and tight junction disruption via a TNF-α-regulated mechanism. </w:t>
      </w:r>
      <w:r>
        <w:rPr>
          <w:i/>
          <w:iCs/>
        </w:rPr>
        <w:t>World J Gastroenterol</w:t>
      </w:r>
      <w:r>
        <w:t>. 2013;19(23):3583-3595. doi:10.3748/wjg.v19.i23.3583</w:t>
      </w:r>
    </w:p>
    <w:p w14:paraId="590E14CB" w14:textId="77777777" w:rsidR="007C5A51" w:rsidRDefault="007C5A51" w:rsidP="007C5A51">
      <w:pPr>
        <w:pStyle w:val="Bibliography"/>
      </w:pPr>
      <w:r>
        <w:t xml:space="preserve">250. </w:t>
      </w:r>
      <w:r>
        <w:tab/>
        <w:t xml:space="preserve">Erickson EL, Leydon C, Thibeault SL. Vocal fold epithelial barrier in health and injury: A research review. </w:t>
      </w:r>
      <w:r>
        <w:rPr>
          <w:i/>
          <w:iCs/>
        </w:rPr>
        <w:t>Journal of Speech, Language, and Hearing Research</w:t>
      </w:r>
      <w:r>
        <w:t>. 2014;57(June):1679-1691. doi:10.1044/2014</w:t>
      </w:r>
    </w:p>
    <w:p w14:paraId="0C40937B" w14:textId="77777777" w:rsidR="007C5A51" w:rsidRDefault="007C5A51" w:rsidP="007C5A51">
      <w:pPr>
        <w:pStyle w:val="Bibliography"/>
      </w:pPr>
      <w:r>
        <w:t xml:space="preserve">251. </w:t>
      </w:r>
      <w:r>
        <w:tab/>
        <w:t xml:space="preserve">Al-Ali M, Anderson J. The role of steroid injection for vocal folds lesions in professional voice users. </w:t>
      </w:r>
      <w:r>
        <w:rPr>
          <w:i/>
          <w:iCs/>
        </w:rPr>
        <w:t>Journal of Otolaryngology-Head &amp; Neck Surgery</w:t>
      </w:r>
      <w:r>
        <w:t>. 2020;49(1):1-7.</w:t>
      </w:r>
    </w:p>
    <w:p w14:paraId="24668018" w14:textId="77777777" w:rsidR="007C5A51" w:rsidRDefault="007C5A51" w:rsidP="007C5A51">
      <w:pPr>
        <w:pStyle w:val="Bibliography"/>
      </w:pPr>
      <w:r>
        <w:t xml:space="preserve">252. </w:t>
      </w:r>
      <w:r>
        <w:tab/>
        <w:t xml:space="preserve">Wang CT, Lai MS, Hsiao TY. Comprehensive Outcome Researches of Intralesional Steroid Injection on Benign Vocal Fold Lesions. </w:t>
      </w:r>
      <w:r>
        <w:rPr>
          <w:i/>
          <w:iCs/>
        </w:rPr>
        <w:t>Journal of Voice</w:t>
      </w:r>
      <w:r>
        <w:t>. 2015;29(5):578-587. doi:10.1016/j.jvoice.2014.11.002</w:t>
      </w:r>
    </w:p>
    <w:p w14:paraId="0B4CEB38" w14:textId="77777777" w:rsidR="007C5A51" w:rsidRDefault="007C5A51" w:rsidP="007C5A51">
      <w:pPr>
        <w:pStyle w:val="Bibliography"/>
      </w:pPr>
      <w:r>
        <w:t xml:space="preserve">253. </w:t>
      </w:r>
      <w:r>
        <w:tab/>
        <w:t xml:space="preserve">Hashimoto K, Kaneko M, Kinoshita S, et al. Effects of repeated intracordal glucocorticoid injection on the histology and gene expression of rat vocal folds. </w:t>
      </w:r>
      <w:r>
        <w:rPr>
          <w:i/>
          <w:iCs/>
        </w:rPr>
        <w:t>Journal of Voice</w:t>
      </w:r>
      <w:r>
        <w:t>. Published online July 2021. doi:10.1016/j.jvoice.2021.06.013</w:t>
      </w:r>
    </w:p>
    <w:p w14:paraId="20E8764C" w14:textId="77777777" w:rsidR="007C5A51" w:rsidRDefault="007C5A51" w:rsidP="007C5A51">
      <w:pPr>
        <w:pStyle w:val="Bibliography"/>
      </w:pPr>
      <w:r>
        <w:t xml:space="preserve">254. </w:t>
      </w:r>
      <w:r>
        <w:tab/>
        <w:t xml:space="preserve">Hallén L, Johansson C, Laurent C, Dahlqvist \AA. Hyaluronan localization in the rabbit larynx. </w:t>
      </w:r>
      <w:r>
        <w:rPr>
          <w:i/>
          <w:iCs/>
        </w:rPr>
        <w:t>Anatomical Record</w:t>
      </w:r>
      <w:r>
        <w:t>. 1996;246(4):441-445. doi:10.1002/(SICI)1097-0185(199612)246:4&lt;441::AID-AR3&gt;3.0.CO;2-Y</w:t>
      </w:r>
    </w:p>
    <w:p w14:paraId="110F08DF" w14:textId="77777777" w:rsidR="007C5A51" w:rsidRDefault="007C5A51" w:rsidP="007C5A51">
      <w:pPr>
        <w:pStyle w:val="Bibliography"/>
      </w:pPr>
      <w:r>
        <w:t xml:space="preserve">255. </w:t>
      </w:r>
      <w:r>
        <w:tab/>
        <w:t xml:space="preserve">Hoh JFY. Laryngeal muscle fibre types. </w:t>
      </w:r>
      <w:r>
        <w:rPr>
          <w:i/>
          <w:iCs/>
        </w:rPr>
        <w:t>Acta Physiologica Scandinavica</w:t>
      </w:r>
      <w:r>
        <w:t>. 2005;183(2):133-149. doi:10.1111/j.1365-201X.2004.01402.x</w:t>
      </w:r>
    </w:p>
    <w:p w14:paraId="08D3FC87" w14:textId="77777777" w:rsidR="007C5A51" w:rsidRDefault="007C5A51" w:rsidP="007C5A51">
      <w:pPr>
        <w:pStyle w:val="Bibliography"/>
      </w:pPr>
      <w:r>
        <w:t xml:space="preserve">256. </w:t>
      </w:r>
      <w:r>
        <w:tab/>
        <w:t xml:space="preserve">Wang Y, Pessin JE. Mechanisms for fiber-type specificity of skeletal muscle atrophy. </w:t>
      </w:r>
      <w:r>
        <w:rPr>
          <w:i/>
          <w:iCs/>
        </w:rPr>
        <w:t>Curr Opin Clin Nutr Metab Care</w:t>
      </w:r>
      <w:r>
        <w:t>. 2013;16(3):243-250. doi:10.1097/MCO.0b013e328360272d</w:t>
      </w:r>
    </w:p>
    <w:p w14:paraId="478B6C48" w14:textId="77777777" w:rsidR="007C5A51" w:rsidRDefault="007C5A51" w:rsidP="007C5A51">
      <w:pPr>
        <w:pStyle w:val="Bibliography"/>
      </w:pPr>
      <w:r>
        <w:t xml:space="preserve">257. </w:t>
      </w:r>
      <w:r>
        <w:tab/>
        <w:t xml:space="preserve">Wang CT. Vocal Fold Steroid Injection. In: </w:t>
      </w:r>
      <w:r>
        <w:rPr>
          <w:i/>
          <w:iCs/>
        </w:rPr>
        <w:t>Vocal Fold Injection</w:t>
      </w:r>
      <w:r>
        <w:t>. Springer; 2021:141-150.</w:t>
      </w:r>
    </w:p>
    <w:p w14:paraId="4AC5EA8F" w14:textId="77777777" w:rsidR="007C5A51" w:rsidRDefault="007C5A51" w:rsidP="007C5A51">
      <w:pPr>
        <w:pStyle w:val="Bibliography"/>
      </w:pPr>
      <w:r>
        <w:t xml:space="preserve">258. </w:t>
      </w:r>
      <w:r>
        <w:tab/>
        <w:t>Seow CY, Schellenberg RR, Paré PD. Structural and Functional Changes in the Airway Smooth Muscle of Asthmatic Subjects. 1998;158:8.</w:t>
      </w:r>
    </w:p>
    <w:p w14:paraId="25C45913" w14:textId="77777777" w:rsidR="007C5A51" w:rsidRDefault="007C5A51" w:rsidP="007C5A51">
      <w:pPr>
        <w:pStyle w:val="Bibliography"/>
      </w:pPr>
      <w:r>
        <w:t xml:space="preserve">259. </w:t>
      </w:r>
      <w:r>
        <w:tab/>
        <w:t xml:space="preserve">Ebina M, Takahashi T, Chiba T, Motomiya M. Cellular hypertrophy and hyperplasia of airway smooth muscles underlying bronchial asthma: A 3-D morphometric study. </w:t>
      </w:r>
      <w:r>
        <w:rPr>
          <w:i/>
          <w:iCs/>
        </w:rPr>
        <w:t>American Review of Respiratory Disease</w:t>
      </w:r>
      <w:r>
        <w:t>. 720;148. doi:10.1164/ajrccm/148.3.720</w:t>
      </w:r>
    </w:p>
    <w:p w14:paraId="789A01AB" w14:textId="77777777" w:rsidR="007C5A51" w:rsidRDefault="007C5A51" w:rsidP="007C5A51">
      <w:pPr>
        <w:pStyle w:val="Bibliography"/>
      </w:pPr>
      <w:r>
        <w:t xml:space="preserve">260. </w:t>
      </w:r>
      <w:r>
        <w:tab/>
        <w:t xml:space="preserve">Dunnill M. The pathology of asthma, with special reference to changes in the bronchial mucosa. </w:t>
      </w:r>
      <w:r>
        <w:rPr>
          <w:i/>
          <w:iCs/>
        </w:rPr>
        <w:t>Journal of clinical pathology</w:t>
      </w:r>
      <w:r>
        <w:t>. 13(1):27-33.</w:t>
      </w:r>
    </w:p>
    <w:p w14:paraId="473F002C" w14:textId="77777777" w:rsidR="007C5A51" w:rsidRDefault="007C5A51" w:rsidP="007C5A51">
      <w:pPr>
        <w:pStyle w:val="Bibliography"/>
      </w:pPr>
      <w:r>
        <w:t xml:space="preserve">261. </w:t>
      </w:r>
      <w:r>
        <w:tab/>
        <w:t>Léguillette R, Laviolette M, Bergeron C, et al. Myosin, Transgelin, and Myosin Light Chain Kinase. 2009;179:11.</w:t>
      </w:r>
    </w:p>
    <w:p w14:paraId="56F665FC" w14:textId="77777777" w:rsidR="007C5A51" w:rsidRDefault="007C5A51" w:rsidP="007C5A51">
      <w:pPr>
        <w:pStyle w:val="Bibliography"/>
      </w:pPr>
      <w:r>
        <w:t xml:space="preserve">262. </w:t>
      </w:r>
      <w:r>
        <w:tab/>
        <w:t xml:space="preserve">Nakamura R, Doyle C, Bing R, Johnson AM, Branski RC. Preliminary investigation of In vitro, bidirectional vocal fold muscle-mucosa interactions. </w:t>
      </w:r>
      <w:r>
        <w:rPr>
          <w:i/>
          <w:iCs/>
        </w:rPr>
        <w:t>Ann Otol Rhinol Laryngol</w:t>
      </w:r>
      <w:r>
        <w:t>. Published online July 1, 2021:00034894211028497. doi:10.1177/00034894211028497</w:t>
      </w:r>
    </w:p>
    <w:p w14:paraId="50129414" w14:textId="0B5457D2" w:rsidR="00C27330" w:rsidRDefault="00BE56FE" w:rsidP="00CA4246">
      <w:pPr>
        <w:pStyle w:val="BibliographyEntry"/>
      </w:pPr>
      <w:r>
        <w:fldChar w:fldCharType="end"/>
      </w:r>
    </w:p>
    <w:p w14:paraId="3A5C575E" w14:textId="039087B2" w:rsidR="00BD0E10" w:rsidRDefault="00BD0E10" w:rsidP="005C04D9">
      <w:pPr>
        <w:pStyle w:val="BibliographyEntry"/>
        <w:ind w:left="0" w:firstLine="0"/>
      </w:pPr>
    </w:p>
    <w:p w14:paraId="5AB26345" w14:textId="08974355" w:rsidR="00BD0E10" w:rsidRDefault="00BD0E10" w:rsidP="00CA4246">
      <w:pPr>
        <w:pStyle w:val="BibliographyEntry"/>
      </w:pPr>
    </w:p>
    <w:p w14:paraId="2DFED19F" w14:textId="23BC8E04" w:rsidR="00BD0E10" w:rsidRDefault="00BD0E10" w:rsidP="00CA4246">
      <w:pPr>
        <w:pStyle w:val="BibliographyEntry"/>
      </w:pPr>
    </w:p>
    <w:p w14:paraId="13A0ED59" w14:textId="1FBE2429" w:rsidR="00BD0E10" w:rsidRDefault="00BD0E10" w:rsidP="00CA4246">
      <w:pPr>
        <w:pStyle w:val="BibliographyEntry"/>
      </w:pPr>
    </w:p>
    <w:p w14:paraId="5C7DEE8B" w14:textId="6635266E" w:rsidR="00BD0E10" w:rsidRDefault="00BD0E10" w:rsidP="00CA4246">
      <w:pPr>
        <w:pStyle w:val="BibliographyEntry"/>
      </w:pPr>
    </w:p>
    <w:p w14:paraId="2C0B57D9" w14:textId="5CD0F0DB" w:rsidR="00BD0E10" w:rsidRDefault="00BD0E10" w:rsidP="00196097">
      <w:pPr>
        <w:pStyle w:val="BibliographyEntry"/>
        <w:ind w:left="0" w:firstLine="0"/>
      </w:pPr>
    </w:p>
    <w:sectPr w:rsidR="00BD0E10" w:rsidSect="004F605E">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B30594" w14:textId="77777777" w:rsidR="003729D1" w:rsidRDefault="003729D1">
      <w:r>
        <w:separator/>
      </w:r>
    </w:p>
  </w:endnote>
  <w:endnote w:type="continuationSeparator" w:id="0">
    <w:p w14:paraId="36E40AE0" w14:textId="77777777" w:rsidR="003729D1" w:rsidRDefault="003729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imes New Roman Bold">
    <w:altName w:val="Times New Roman"/>
    <w:panose1 w:val="020208030705050203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Roboto">
    <w:panose1 w:val="00000000000000000000"/>
    <w:charset w:val="00"/>
    <w:family w:val="auto"/>
    <w:pitch w:val="variable"/>
    <w:sig w:usb0="E00002FF" w:usb1="5000205B" w:usb2="00000020" w:usb3="00000000" w:csb0="0000019F" w:csb1="00000000"/>
  </w:font>
  <w:font w:name="DengXian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7DEC7" w14:textId="77777777" w:rsidR="004D7AA4" w:rsidRDefault="004D7AA4" w:rsidP="006B1124">
    <w:pPr>
      <w:tabs>
        <w:tab w:val="center" w:pos="4680"/>
      </w:tabs>
      <w:ind w:firstLine="0"/>
    </w:pPr>
    <w:r>
      <w:tab/>
    </w:r>
    <w:r>
      <w:fldChar w:fldCharType="begin"/>
    </w:r>
    <w:r>
      <w:instrText xml:space="preserve"> PAGE </w:instrText>
    </w:r>
    <w:r>
      <w:fldChar w:fldCharType="separate"/>
    </w:r>
    <w:r w:rsidR="00486073">
      <w:rPr>
        <w:noProof/>
      </w:rPr>
      <w:t>ii</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00C9BE" w14:textId="77777777" w:rsidR="00AF3154" w:rsidRDefault="00AF3154" w:rsidP="00AF3154">
    <w:pPr>
      <w:pStyle w:val="Footer"/>
      <w:tabs>
        <w:tab w:val="clear" w:pos="4320"/>
        <w:tab w:val="center" w:pos="4680"/>
      </w:tabs>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A0748" w14:textId="77777777" w:rsidR="004D7AA4" w:rsidRDefault="004D7AA4" w:rsidP="006B1124">
    <w:pPr>
      <w:tabs>
        <w:tab w:val="center" w:pos="4680"/>
      </w:tabs>
      <w:ind w:firstLine="0"/>
    </w:pPr>
    <w:r>
      <w:tab/>
    </w:r>
    <w:r>
      <w:fldChar w:fldCharType="begin"/>
    </w:r>
    <w:r>
      <w:instrText xml:space="preserve"> PAGE </w:instrText>
    </w:r>
    <w:r>
      <w:fldChar w:fldCharType="separate"/>
    </w:r>
    <w:r w:rsidR="00CC5E7C">
      <w:rPr>
        <w:noProof/>
      </w:rPr>
      <w:t>8</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EED4A3" w14:textId="77777777" w:rsidR="00F76655" w:rsidRDefault="00F76655" w:rsidP="006B1124">
    <w:pPr>
      <w:tabs>
        <w:tab w:val="center" w:pos="4680"/>
      </w:tabs>
      <w:ind w:firstLine="0"/>
    </w:pPr>
    <w:r>
      <w:tab/>
    </w:r>
    <w:r>
      <w:fldChar w:fldCharType="begin"/>
    </w:r>
    <w:r>
      <w:instrText xml:space="preserve"> PAGE </w:instrText>
    </w:r>
    <w:r>
      <w:fldChar w:fldCharType="separate"/>
    </w:r>
    <w:r>
      <w:rPr>
        <w:noProof/>
      </w:rPr>
      <w:t>8</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5BDBA9" w14:textId="77777777" w:rsidR="003729D1" w:rsidRDefault="003729D1" w:rsidP="009633E3">
      <w:pPr>
        <w:ind w:firstLine="0"/>
      </w:pPr>
      <w:r>
        <w:separator/>
      </w:r>
    </w:p>
  </w:footnote>
  <w:footnote w:type="continuationSeparator" w:id="0">
    <w:p w14:paraId="13EB5EE4" w14:textId="77777777" w:rsidR="003729D1" w:rsidRDefault="003729D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AE0F5F" w14:textId="77777777" w:rsidR="0069134F" w:rsidRPr="00932701" w:rsidRDefault="0069134F" w:rsidP="00932701">
    <w:pPr>
      <w:pStyle w:val="Header"/>
      <w:ind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7E8001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DA769084"/>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46F20B88"/>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1DF21510"/>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C682263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E4A4022"/>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04C1E5A"/>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1BD660C6"/>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E0443A6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CE8117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5D026CC"/>
    <w:multiLevelType w:val="hybridMultilevel"/>
    <w:tmpl w:val="03A88252"/>
    <w:lvl w:ilvl="0" w:tplc="09683C9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06342890"/>
    <w:multiLevelType w:val="multilevel"/>
    <w:tmpl w:val="6A62C046"/>
    <w:lvl w:ilvl="0">
      <w:start w:val="1"/>
      <w:numFmt w:val="upperLetter"/>
      <w:lvlText w:val="Appendix %1 "/>
      <w:lvlJc w:val="left"/>
      <w:pPr>
        <w:ind w:left="360" w:hanging="360"/>
      </w:pPr>
      <w:rPr>
        <w:rFonts w:ascii="Times New Roman" w:hAnsi="Times New Roman" w:hint="default"/>
        <w:b/>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0C315625"/>
    <w:multiLevelType w:val="multilevel"/>
    <w:tmpl w:val="283AB03E"/>
    <w:lvl w:ilvl="0">
      <w:start w:val="1"/>
      <w:numFmt w:val="decimal"/>
      <w:suff w:val="space"/>
      <w:lvlText w:val="%1.0"/>
      <w:lvlJc w:val="left"/>
      <w:pPr>
        <w:ind w:left="792" w:hanging="792"/>
      </w:pPr>
      <w:rPr>
        <w:rFonts w:hint="default"/>
        <w:b/>
        <w:i w:val="0"/>
        <w:sz w:val="24"/>
        <w:szCs w:val="24"/>
      </w:rPr>
    </w:lvl>
    <w:lvl w:ilvl="1">
      <w:start w:val="1"/>
      <w:numFmt w:val="decimal"/>
      <w:suff w:val="space"/>
      <w:lvlText w:val="%1.%2"/>
      <w:lvlJc w:val="left"/>
      <w:pPr>
        <w:ind w:left="1656" w:hanging="864"/>
      </w:pPr>
      <w:rPr>
        <w:rFonts w:hint="default"/>
        <w:b/>
        <w:i w:val="0"/>
        <w:sz w:val="24"/>
      </w:rPr>
    </w:lvl>
    <w:lvl w:ilvl="2">
      <w:start w:val="1"/>
      <w:numFmt w:val="decimal"/>
      <w:suff w:val="space"/>
      <w:lvlText w:val="%1.%2.%3 "/>
      <w:lvlJc w:val="left"/>
      <w:pPr>
        <w:ind w:left="3096" w:hanging="3096"/>
      </w:pPr>
      <w:rPr>
        <w:rFonts w:hint="default"/>
        <w:b/>
        <w:i w:val="0"/>
        <w:sz w:val="24"/>
        <w:szCs w:val="24"/>
      </w:rPr>
    </w:lvl>
    <w:lvl w:ilvl="3">
      <w:start w:val="1"/>
      <w:numFmt w:val="decimal"/>
      <w:suff w:val="space"/>
      <w:lvlText w:val="%1.%2.%3.%4"/>
      <w:lvlJc w:val="left"/>
      <w:pPr>
        <w:ind w:left="0" w:firstLine="0"/>
      </w:pPr>
      <w:rPr>
        <w:rFonts w:hint="default"/>
        <w:b/>
        <w:i w:val="0"/>
        <w:sz w:val="24"/>
        <w:szCs w:val="24"/>
      </w:rPr>
    </w:lvl>
    <w:lvl w:ilvl="4">
      <w:start w:val="1"/>
      <w:numFmt w:val="decimal"/>
      <w:lvlRestart w:val="0"/>
      <w:suff w:val="space"/>
      <w:lvlText w:val="%1.%2.%3.%5"/>
      <w:lvlJc w:val="center"/>
      <w:pPr>
        <w:ind w:left="0" w:firstLine="288"/>
      </w:pPr>
      <w:rPr>
        <w:rFonts w:ascii="Times New Roman Bold" w:hAnsi="Times New Roman Bold" w:hint="default"/>
        <w:b/>
        <w:i w:val="0"/>
        <w:sz w:val="24"/>
      </w:rPr>
    </w:lvl>
    <w:lvl w:ilvl="5">
      <w:start w:val="1"/>
      <w:numFmt w:val="decimal"/>
      <w:lvlRestart w:val="0"/>
      <w:suff w:val="space"/>
      <w:lvlText w:val="Appendix %5.%6"/>
      <w:lvlJc w:val="center"/>
      <w:pPr>
        <w:ind w:left="4104" w:hanging="1584"/>
      </w:pPr>
      <w:rPr>
        <w:rFonts w:hint="default"/>
      </w:rPr>
    </w:lvl>
    <w:lvl w:ilvl="6">
      <w:start w:val="1"/>
      <w:numFmt w:val="decimal"/>
      <w:lvlRestart w:val="0"/>
      <w:suff w:val="space"/>
      <w:lvlText w:val="Appendix %5.%6.%7"/>
      <w:lvlJc w:val="left"/>
      <w:pPr>
        <w:ind w:left="5544" w:hanging="3384"/>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3" w15:restartNumberingAfterBreak="0">
    <w:nsid w:val="0CDE4E20"/>
    <w:multiLevelType w:val="multilevel"/>
    <w:tmpl w:val="E8605FD6"/>
    <w:lvl w:ilvl="0">
      <w:start w:val="1"/>
      <w:numFmt w:val="decimal"/>
      <w:suff w:val="space"/>
      <w:lvlText w:val="%1.0"/>
      <w:lvlJc w:val="left"/>
      <w:pPr>
        <w:ind w:left="792" w:hanging="792"/>
      </w:pPr>
      <w:rPr>
        <w:rFonts w:hint="default"/>
        <w:b/>
        <w:i w:val="0"/>
        <w:sz w:val="24"/>
        <w:szCs w:val="24"/>
      </w:rPr>
    </w:lvl>
    <w:lvl w:ilvl="1">
      <w:start w:val="1"/>
      <w:numFmt w:val="decimal"/>
      <w:suff w:val="space"/>
      <w:lvlText w:val="%1.%2"/>
      <w:lvlJc w:val="left"/>
      <w:pPr>
        <w:ind w:left="1656" w:hanging="864"/>
      </w:pPr>
      <w:rPr>
        <w:rFonts w:hint="default"/>
        <w:b/>
        <w:i w:val="0"/>
        <w:sz w:val="24"/>
      </w:rPr>
    </w:lvl>
    <w:lvl w:ilvl="2">
      <w:start w:val="1"/>
      <w:numFmt w:val="decimal"/>
      <w:suff w:val="space"/>
      <w:lvlText w:val="%1.%2.%3 "/>
      <w:lvlJc w:val="left"/>
      <w:pPr>
        <w:ind w:left="3096" w:hanging="1440"/>
      </w:pPr>
      <w:rPr>
        <w:rFonts w:hint="default"/>
        <w:b/>
        <w:i w:val="0"/>
        <w:sz w:val="24"/>
        <w:szCs w:val="24"/>
      </w:rPr>
    </w:lvl>
    <w:lvl w:ilvl="3">
      <w:start w:val="1"/>
      <w:numFmt w:val="decimal"/>
      <w:suff w:val="space"/>
      <w:lvlText w:val="%1.%2.%3.%4"/>
      <w:lvlJc w:val="left"/>
      <w:pPr>
        <w:ind w:left="4824" w:hanging="1728"/>
      </w:pPr>
      <w:rPr>
        <w:rFonts w:hint="default"/>
        <w:b/>
        <w:i w:val="0"/>
        <w:sz w:val="24"/>
        <w:szCs w:val="24"/>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 w15:restartNumberingAfterBreak="0">
    <w:nsid w:val="15C149AB"/>
    <w:multiLevelType w:val="multilevel"/>
    <w:tmpl w:val="B7689ACC"/>
    <w:lvl w:ilvl="0">
      <w:start w:val="1"/>
      <w:numFmt w:val="upperLetter"/>
      <w:lvlText w:val="Appendix %1 "/>
      <w:lvlJc w:val="left"/>
      <w:pPr>
        <w:ind w:left="720" w:hanging="360"/>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space"/>
      <w:lvlText w:val="Appendix %1-%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1D8C3386"/>
    <w:multiLevelType w:val="multilevel"/>
    <w:tmpl w:val="2814E058"/>
    <w:lvl w:ilvl="0">
      <w:start w:val="1"/>
      <w:numFmt w:val="upperLetter"/>
      <w:lvlText w:val="Appendix %1 "/>
      <w:lvlJc w:val="left"/>
      <w:pPr>
        <w:ind w:left="5400" w:hanging="360"/>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Restart w:val="0"/>
      <w:suff w:val="space"/>
      <w:lvlText w:val="Appendix %1.%2 "/>
      <w:lvlJc w:val="left"/>
      <w:pPr>
        <w:ind w:left="720" w:hanging="720"/>
      </w:pPr>
      <w:rPr>
        <w:rFonts w:ascii="Times New Roman Bold" w:hAnsi="Times New Roman Bold" w:hint="default"/>
        <w:b/>
        <w:i w:val="0"/>
        <w:sz w:val="24"/>
      </w:rPr>
    </w:lvl>
    <w:lvl w:ilvl="2">
      <w:start w:val="1"/>
      <w:numFmt w:val="decimal"/>
      <w:suff w:val="space"/>
      <w:lvlText w:val="Appendix %1-%2-%3"/>
      <w:lvlJc w:val="left"/>
      <w:pPr>
        <w:ind w:left="1080" w:hanging="108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suff w:val="space"/>
      <w:lvlText w:val="%5-%6-%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1F9559AF"/>
    <w:multiLevelType w:val="multilevel"/>
    <w:tmpl w:val="36968D00"/>
    <w:lvl w:ilvl="0">
      <w:start w:val="1"/>
      <w:numFmt w:val="upperLetter"/>
      <w:lvlText w:val="Appendix %1 "/>
      <w:lvlJc w:val="left"/>
      <w:pPr>
        <w:ind w:left="720" w:hanging="36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space"/>
      <w:lvlText w:val="Appendix %1-%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15:restartNumberingAfterBreak="0">
    <w:nsid w:val="25376EE6"/>
    <w:multiLevelType w:val="multilevel"/>
    <w:tmpl w:val="B7689ACC"/>
    <w:lvl w:ilvl="0">
      <w:start w:val="1"/>
      <w:numFmt w:val="upperLetter"/>
      <w:lvlText w:val="Appendix %1 "/>
      <w:lvlJc w:val="left"/>
      <w:pPr>
        <w:ind w:left="720" w:hanging="360"/>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space"/>
      <w:lvlText w:val="Appendix %1-%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15:restartNumberingAfterBreak="0">
    <w:nsid w:val="2A357CA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44301BA3"/>
    <w:multiLevelType w:val="hybridMultilevel"/>
    <w:tmpl w:val="E29C1044"/>
    <w:lvl w:ilvl="0" w:tplc="76CCF78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44610848"/>
    <w:multiLevelType w:val="multilevel"/>
    <w:tmpl w:val="E0C0E3A8"/>
    <w:lvl w:ilvl="0">
      <w:start w:val="1"/>
      <w:numFmt w:val="decimal"/>
      <w:pStyle w:val="Heading1"/>
      <w:suff w:val="space"/>
      <w:lvlText w:val="%1.0"/>
      <w:lvlJc w:val="left"/>
      <w:pPr>
        <w:ind w:left="432" w:hanging="432"/>
      </w:pPr>
      <w:rPr>
        <w:rFonts w:hint="default"/>
      </w:rPr>
    </w:lvl>
    <w:lvl w:ilvl="1">
      <w:start w:val="1"/>
      <w:numFmt w:val="decimal"/>
      <w:pStyle w:val="Heading2"/>
      <w:suff w:val="space"/>
      <w:lvlText w:val="%1.%2"/>
      <w:lvlJc w:val="left"/>
      <w:pPr>
        <w:ind w:left="576" w:hanging="576"/>
      </w:pPr>
      <w:rPr>
        <w:rFonts w:hint="default"/>
      </w:rPr>
    </w:lvl>
    <w:lvl w:ilvl="2">
      <w:start w:val="1"/>
      <w:numFmt w:val="decimal"/>
      <w:pStyle w:val="Heading3"/>
      <w:suff w:val="space"/>
      <w:lvlText w:val="%1.%2.%3"/>
      <w:lvlJc w:val="left"/>
      <w:pPr>
        <w:ind w:left="720" w:hanging="720"/>
      </w:pPr>
      <w:rPr>
        <w:rFonts w:hint="default"/>
      </w:rPr>
    </w:lvl>
    <w:lvl w:ilvl="3">
      <w:start w:val="1"/>
      <w:numFmt w:val="decimal"/>
      <w:pStyle w:val="Heading4"/>
      <w:suff w:val="space"/>
      <w:lvlText w:val="%1.%2.%3.%4"/>
      <w:lvlJc w:val="left"/>
      <w:pPr>
        <w:ind w:left="864" w:hanging="864"/>
      </w:pPr>
      <w:rPr>
        <w:rFonts w:hint="default"/>
      </w:rPr>
    </w:lvl>
    <w:lvl w:ilvl="4">
      <w:start w:val="1"/>
      <w:numFmt w:val="decimal"/>
      <w:pStyle w:val="Heading5"/>
      <w:suff w:val="space"/>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1" w15:restartNumberingAfterBreak="0">
    <w:nsid w:val="48756846"/>
    <w:multiLevelType w:val="multilevel"/>
    <w:tmpl w:val="BF303B0C"/>
    <w:lvl w:ilvl="0">
      <w:start w:val="1"/>
      <w:numFmt w:val="upperLetter"/>
      <w:suff w:val="nothing"/>
      <w:lvlText w:val="APPENDIX %1"/>
      <w:lvlJc w:val="left"/>
      <w:pPr>
        <w:ind w:left="-720" w:firstLine="0"/>
      </w:pPr>
      <w:rPr>
        <w:rFonts w:hint="default"/>
        <w:b/>
        <w:i w:val="0"/>
        <w:caps/>
        <w:sz w:val="24"/>
        <w:szCs w:val="24"/>
      </w:rPr>
    </w:lvl>
    <w:lvl w:ilvl="1">
      <w:start w:val="1"/>
      <w:numFmt w:val="decimalZero"/>
      <w:isLgl/>
      <w:lvlText w:val="Section %1.%2"/>
      <w:lvlJc w:val="left"/>
      <w:pPr>
        <w:tabs>
          <w:tab w:val="num" w:pos="1080"/>
        </w:tabs>
        <w:ind w:left="-1440" w:firstLine="0"/>
      </w:pPr>
      <w:rPr>
        <w:rFonts w:hint="default"/>
      </w:rPr>
    </w:lvl>
    <w:lvl w:ilvl="2">
      <w:start w:val="1"/>
      <w:numFmt w:val="lowerLetter"/>
      <w:lvlText w:val="(%3)"/>
      <w:lvlJc w:val="left"/>
      <w:pPr>
        <w:tabs>
          <w:tab w:val="num" w:pos="-432"/>
        </w:tabs>
        <w:ind w:left="-720" w:hanging="432"/>
      </w:pPr>
      <w:rPr>
        <w:rFonts w:hint="default"/>
      </w:rPr>
    </w:lvl>
    <w:lvl w:ilvl="3">
      <w:start w:val="1"/>
      <w:numFmt w:val="lowerRoman"/>
      <w:lvlText w:val="(%4)"/>
      <w:lvlJc w:val="right"/>
      <w:pPr>
        <w:tabs>
          <w:tab w:val="num" w:pos="-576"/>
        </w:tabs>
        <w:ind w:left="-576" w:hanging="144"/>
      </w:pPr>
      <w:rPr>
        <w:rFonts w:hint="default"/>
      </w:rPr>
    </w:lvl>
    <w:lvl w:ilvl="4">
      <w:start w:val="1"/>
      <w:numFmt w:val="upperLetter"/>
      <w:lvlRestart w:val="0"/>
      <w:pStyle w:val="Appendix"/>
      <w:suff w:val="space"/>
      <w:lvlText w:val="Appendix %5"/>
      <w:lvlJc w:val="left"/>
      <w:pPr>
        <w:ind w:left="0" w:firstLine="0"/>
      </w:pPr>
      <w:rPr>
        <w:rFonts w:hint="default"/>
        <w:b/>
        <w:i w:val="0"/>
        <w:caps w:val="0"/>
        <w:sz w:val="24"/>
        <w:szCs w:val="24"/>
      </w:rPr>
    </w:lvl>
    <w:lvl w:ilvl="5">
      <w:start w:val="1"/>
      <w:numFmt w:val="decimal"/>
      <w:pStyle w:val="AppSection"/>
      <w:suff w:val="space"/>
      <w:lvlText w:val="Appendix %5.%6"/>
      <w:lvlJc w:val="left"/>
      <w:pPr>
        <w:ind w:left="0" w:firstLine="0"/>
      </w:pPr>
      <w:rPr>
        <w:rFonts w:hint="default"/>
        <w:b/>
        <w:i w:val="0"/>
        <w:sz w:val="24"/>
        <w:szCs w:val="24"/>
      </w:rPr>
    </w:lvl>
    <w:lvl w:ilvl="6">
      <w:start w:val="1"/>
      <w:numFmt w:val="decimal"/>
      <w:pStyle w:val="AppSubsection"/>
      <w:suff w:val="space"/>
      <w:lvlText w:val="Appendix %5.%6.%7"/>
      <w:lvlJc w:val="left"/>
      <w:pPr>
        <w:ind w:left="0" w:firstLine="0"/>
      </w:pPr>
      <w:rPr>
        <w:rFonts w:hint="default"/>
        <w:b/>
        <w:i w:val="0"/>
        <w:sz w:val="24"/>
        <w:szCs w:val="24"/>
      </w:rPr>
    </w:lvl>
    <w:lvl w:ilvl="7">
      <w:start w:val="1"/>
      <w:numFmt w:val="lowerLetter"/>
      <w:lvlText w:val="%8."/>
      <w:lvlJc w:val="left"/>
      <w:pPr>
        <w:tabs>
          <w:tab w:val="num" w:pos="0"/>
        </w:tabs>
        <w:ind w:left="0" w:hanging="432"/>
      </w:pPr>
      <w:rPr>
        <w:rFonts w:hint="default"/>
      </w:rPr>
    </w:lvl>
    <w:lvl w:ilvl="8">
      <w:start w:val="1"/>
      <w:numFmt w:val="lowerRoman"/>
      <w:lvlText w:val="%9."/>
      <w:lvlJc w:val="right"/>
      <w:pPr>
        <w:tabs>
          <w:tab w:val="num" w:pos="144"/>
        </w:tabs>
        <w:ind w:left="144" w:hanging="144"/>
      </w:pPr>
      <w:rPr>
        <w:rFonts w:hint="default"/>
      </w:rPr>
    </w:lvl>
  </w:abstractNum>
  <w:abstractNum w:abstractNumId="22" w15:restartNumberingAfterBreak="0">
    <w:nsid w:val="4D480D19"/>
    <w:multiLevelType w:val="multilevel"/>
    <w:tmpl w:val="23C6E0A2"/>
    <w:lvl w:ilvl="0">
      <w:start w:val="1"/>
      <w:numFmt w:val="upperLetter"/>
      <w:suff w:val="nothing"/>
      <w:lvlText w:val="APPENDIX %1"/>
      <w:lvlJc w:val="left"/>
      <w:pPr>
        <w:ind w:left="-720" w:firstLine="0"/>
      </w:pPr>
      <w:rPr>
        <w:rFonts w:hint="default"/>
        <w:b/>
        <w:i w:val="0"/>
        <w:caps/>
        <w:sz w:val="24"/>
        <w:szCs w:val="24"/>
      </w:rPr>
    </w:lvl>
    <w:lvl w:ilvl="1">
      <w:start w:val="1"/>
      <w:numFmt w:val="decimalZero"/>
      <w:isLgl/>
      <w:lvlText w:val="Section %1.%2"/>
      <w:lvlJc w:val="left"/>
      <w:pPr>
        <w:tabs>
          <w:tab w:val="num" w:pos="1080"/>
        </w:tabs>
        <w:ind w:left="-1440" w:firstLine="0"/>
      </w:pPr>
      <w:rPr>
        <w:rFonts w:hint="default"/>
      </w:rPr>
    </w:lvl>
    <w:lvl w:ilvl="2">
      <w:start w:val="1"/>
      <w:numFmt w:val="lowerLetter"/>
      <w:lvlText w:val="(%3)"/>
      <w:lvlJc w:val="left"/>
      <w:pPr>
        <w:tabs>
          <w:tab w:val="num" w:pos="-432"/>
        </w:tabs>
        <w:ind w:left="-720" w:hanging="432"/>
      </w:pPr>
      <w:rPr>
        <w:rFonts w:hint="default"/>
      </w:rPr>
    </w:lvl>
    <w:lvl w:ilvl="3">
      <w:start w:val="1"/>
      <w:numFmt w:val="lowerRoman"/>
      <w:lvlText w:val="(%4)"/>
      <w:lvlJc w:val="right"/>
      <w:pPr>
        <w:tabs>
          <w:tab w:val="num" w:pos="-576"/>
        </w:tabs>
        <w:ind w:left="-576" w:hanging="144"/>
      </w:pPr>
      <w:rPr>
        <w:rFonts w:hint="default"/>
      </w:rPr>
    </w:lvl>
    <w:lvl w:ilvl="4">
      <w:start w:val="1"/>
      <w:numFmt w:val="upperLetter"/>
      <w:lvlRestart w:val="0"/>
      <w:suff w:val="nothing"/>
      <w:lvlText w:val="Appendix %5"/>
      <w:lvlJc w:val="left"/>
      <w:pPr>
        <w:ind w:left="0" w:firstLine="0"/>
      </w:pPr>
      <w:rPr>
        <w:rFonts w:hint="default"/>
        <w:b/>
        <w:i w:val="0"/>
        <w:caps w:val="0"/>
        <w:sz w:val="24"/>
        <w:szCs w:val="24"/>
      </w:rPr>
    </w:lvl>
    <w:lvl w:ilvl="5">
      <w:start w:val="1"/>
      <w:numFmt w:val="decimal"/>
      <w:suff w:val="space"/>
      <w:lvlText w:val="%5.%6"/>
      <w:lvlJc w:val="left"/>
      <w:pPr>
        <w:ind w:left="0" w:firstLine="0"/>
      </w:pPr>
      <w:rPr>
        <w:rFonts w:hint="default"/>
        <w:b/>
        <w:i w:val="0"/>
        <w:sz w:val="24"/>
        <w:szCs w:val="24"/>
      </w:rPr>
    </w:lvl>
    <w:lvl w:ilvl="6">
      <w:start w:val="1"/>
      <w:numFmt w:val="decimal"/>
      <w:lvlText w:val="%5.%6.%7"/>
      <w:lvlJc w:val="left"/>
      <w:pPr>
        <w:tabs>
          <w:tab w:val="num" w:pos="-31680"/>
        </w:tabs>
        <w:ind w:left="-32767" w:firstLine="0"/>
      </w:pPr>
      <w:rPr>
        <w:rFonts w:hint="default"/>
        <w:b/>
        <w:i w:val="0"/>
        <w:sz w:val="24"/>
        <w:szCs w:val="24"/>
      </w:rPr>
    </w:lvl>
    <w:lvl w:ilvl="7">
      <w:start w:val="1"/>
      <w:numFmt w:val="lowerLetter"/>
      <w:lvlText w:val="%8."/>
      <w:lvlJc w:val="left"/>
      <w:pPr>
        <w:tabs>
          <w:tab w:val="num" w:pos="0"/>
        </w:tabs>
        <w:ind w:left="0" w:hanging="432"/>
      </w:pPr>
      <w:rPr>
        <w:rFonts w:hint="default"/>
      </w:rPr>
    </w:lvl>
    <w:lvl w:ilvl="8">
      <w:start w:val="1"/>
      <w:numFmt w:val="lowerRoman"/>
      <w:lvlText w:val="%9."/>
      <w:lvlJc w:val="right"/>
      <w:pPr>
        <w:tabs>
          <w:tab w:val="num" w:pos="144"/>
        </w:tabs>
        <w:ind w:left="144" w:hanging="144"/>
      </w:pPr>
      <w:rPr>
        <w:rFonts w:hint="default"/>
      </w:rPr>
    </w:lvl>
  </w:abstractNum>
  <w:abstractNum w:abstractNumId="23" w15:restartNumberingAfterBreak="0">
    <w:nsid w:val="5781357F"/>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658C6B7F"/>
    <w:multiLevelType w:val="hybridMultilevel"/>
    <w:tmpl w:val="30A0C888"/>
    <w:lvl w:ilvl="0" w:tplc="697C48CA">
      <w:start w:val="1"/>
      <w:numFmt w:val="upperLetter"/>
      <w:lvlText w:val="Appendix %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C5F39AB"/>
    <w:multiLevelType w:val="multilevel"/>
    <w:tmpl w:val="6A62C046"/>
    <w:lvl w:ilvl="0">
      <w:start w:val="1"/>
      <w:numFmt w:val="upperLetter"/>
      <w:lvlText w:val="Appendix %1 "/>
      <w:lvlJc w:val="left"/>
      <w:pPr>
        <w:ind w:left="360" w:hanging="360"/>
      </w:pPr>
      <w:rPr>
        <w:rFonts w:ascii="Times New Roman" w:hAnsi="Times New Roman" w:hint="default"/>
        <w:b/>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74DF5DB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 w15:restartNumberingAfterBreak="0">
    <w:nsid w:val="7F966049"/>
    <w:multiLevelType w:val="multilevel"/>
    <w:tmpl w:val="84869986"/>
    <w:lvl w:ilvl="0">
      <w:start w:val="1"/>
      <w:numFmt w:val="upperLetter"/>
      <w:lvlText w:val="Appendix %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2"/>
  </w:num>
  <w:num w:numId="2">
    <w:abstractNumId w:val="9"/>
  </w:num>
  <w:num w:numId="3">
    <w:abstractNumId w:val="7"/>
  </w:num>
  <w:num w:numId="4">
    <w:abstractNumId w:val="6"/>
  </w:num>
  <w:num w:numId="5">
    <w:abstractNumId w:val="5"/>
  </w:num>
  <w:num w:numId="6">
    <w:abstractNumId w:val="4"/>
  </w:num>
  <w:num w:numId="7">
    <w:abstractNumId w:val="0"/>
  </w:num>
  <w:num w:numId="8">
    <w:abstractNumId w:val="1"/>
  </w:num>
  <w:num w:numId="9">
    <w:abstractNumId w:val="3"/>
  </w:num>
  <w:num w:numId="10">
    <w:abstractNumId w:val="2"/>
  </w:num>
  <w:num w:numId="11">
    <w:abstractNumId w:val="8"/>
  </w:num>
  <w:num w:numId="12">
    <w:abstractNumId w:val="22"/>
  </w:num>
  <w:num w:numId="13">
    <w:abstractNumId w:val="11"/>
  </w:num>
  <w:num w:numId="14">
    <w:abstractNumId w:val="15"/>
  </w:num>
  <w:num w:numId="15">
    <w:abstractNumId w:val="25"/>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6"/>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num>
  <w:num w:numId="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7"/>
  </w:num>
  <w:num w:numId="22">
    <w:abstractNumId w:val="24"/>
  </w:num>
  <w:num w:numId="23">
    <w:abstractNumId w:val="16"/>
  </w:num>
  <w:num w:numId="24">
    <w:abstractNumId w:val="23"/>
  </w:num>
  <w:num w:numId="25">
    <w:abstractNumId w:val="18"/>
  </w:num>
  <w:num w:numId="26">
    <w:abstractNumId w:val="14"/>
  </w:num>
  <w:num w:numId="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7"/>
  </w:num>
  <w:num w:numId="29">
    <w:abstractNumId w:val="21"/>
  </w:num>
  <w:num w:numId="30">
    <w:abstractNumId w:val="21"/>
  </w:num>
  <w:num w:numId="31">
    <w:abstractNumId w:val="21"/>
  </w:num>
  <w:num w:numId="32">
    <w:abstractNumId w:val="20"/>
  </w:num>
  <w:num w:numId="33">
    <w:abstractNumId w:val="20"/>
  </w:num>
  <w:num w:numId="34">
    <w:abstractNumId w:val="20"/>
  </w:num>
  <w:num w:numId="35">
    <w:abstractNumId w:val="20"/>
  </w:num>
  <w:num w:numId="36">
    <w:abstractNumId w:val="20"/>
  </w:num>
  <w:num w:numId="37">
    <w:abstractNumId w:val="20"/>
  </w:num>
  <w:num w:numId="38">
    <w:abstractNumId w:val="20"/>
  </w:num>
  <w:num w:numId="39">
    <w:abstractNumId w:val="20"/>
  </w:num>
  <w:num w:numId="40">
    <w:abstractNumId w:val="20"/>
  </w:num>
  <w:num w:numId="41">
    <w:abstractNumId w:val="20"/>
  </w:num>
  <w:num w:numId="42">
    <w:abstractNumId w:val="21"/>
  </w:num>
  <w:num w:numId="43">
    <w:abstractNumId w:val="10"/>
  </w:num>
  <w:num w:numId="44">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efaultTabStop w:val="0"/>
  <w:noPunctuationKerning/>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tTQwNjIxMDI2NTU0NzZT0lEKTi0uzszPAykwNK8FAJg9lrQtAAAA"/>
    <w:docVar w:name="EN.InstantFormat" w:val="&lt;ENInstantFormat&gt;&lt;Enabled&gt;1&lt;/Enabled&gt;&lt;ScanUnformatted&gt;1&lt;/ScanUnformatted&gt;&lt;ScanChanges&gt;1&lt;/ScanChanges&gt;&lt;Suspended&gt;1&lt;/Suspended&gt;&lt;/ENInstantFormat&gt;"/>
    <w:docVar w:name="EN.Layout" w:val="&lt;ENLayout&gt;&lt;Style&gt;APA 6th&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Libraries&gt;"/>
  </w:docVars>
  <w:rsids>
    <w:rsidRoot w:val="00017517"/>
    <w:rsid w:val="000000E2"/>
    <w:rsid w:val="0000139C"/>
    <w:rsid w:val="00001A56"/>
    <w:rsid w:val="00001C37"/>
    <w:rsid w:val="00001C91"/>
    <w:rsid w:val="00001E10"/>
    <w:rsid w:val="00002DF0"/>
    <w:rsid w:val="00006518"/>
    <w:rsid w:val="00006D8B"/>
    <w:rsid w:val="00007079"/>
    <w:rsid w:val="00010FEE"/>
    <w:rsid w:val="0001649C"/>
    <w:rsid w:val="00017517"/>
    <w:rsid w:val="0002051C"/>
    <w:rsid w:val="00020691"/>
    <w:rsid w:val="000206C6"/>
    <w:rsid w:val="000213FB"/>
    <w:rsid w:val="0002247B"/>
    <w:rsid w:val="0002372B"/>
    <w:rsid w:val="00025DDD"/>
    <w:rsid w:val="00026E3B"/>
    <w:rsid w:val="00027ED0"/>
    <w:rsid w:val="000314FA"/>
    <w:rsid w:val="00035D1E"/>
    <w:rsid w:val="000363B7"/>
    <w:rsid w:val="00037B9D"/>
    <w:rsid w:val="00037CEE"/>
    <w:rsid w:val="000409CF"/>
    <w:rsid w:val="000439D6"/>
    <w:rsid w:val="00043BDD"/>
    <w:rsid w:val="0004550E"/>
    <w:rsid w:val="00052B49"/>
    <w:rsid w:val="00053D2C"/>
    <w:rsid w:val="00054111"/>
    <w:rsid w:val="000544C2"/>
    <w:rsid w:val="000547B4"/>
    <w:rsid w:val="00054BA7"/>
    <w:rsid w:val="00057149"/>
    <w:rsid w:val="00057D09"/>
    <w:rsid w:val="00060C8E"/>
    <w:rsid w:val="000612DB"/>
    <w:rsid w:val="00061680"/>
    <w:rsid w:val="000624EF"/>
    <w:rsid w:val="000635D4"/>
    <w:rsid w:val="00063D7D"/>
    <w:rsid w:val="00064169"/>
    <w:rsid w:val="00066CB0"/>
    <w:rsid w:val="00070085"/>
    <w:rsid w:val="00070162"/>
    <w:rsid w:val="000707E7"/>
    <w:rsid w:val="00072E80"/>
    <w:rsid w:val="00076116"/>
    <w:rsid w:val="00076385"/>
    <w:rsid w:val="000765B1"/>
    <w:rsid w:val="00076AF3"/>
    <w:rsid w:val="00080F25"/>
    <w:rsid w:val="0008359C"/>
    <w:rsid w:val="00083E5B"/>
    <w:rsid w:val="00084D48"/>
    <w:rsid w:val="00086364"/>
    <w:rsid w:val="0008705B"/>
    <w:rsid w:val="0008717F"/>
    <w:rsid w:val="00091151"/>
    <w:rsid w:val="00091A04"/>
    <w:rsid w:val="00091C8E"/>
    <w:rsid w:val="00091F3A"/>
    <w:rsid w:val="00091FB1"/>
    <w:rsid w:val="000A10B6"/>
    <w:rsid w:val="000A1C40"/>
    <w:rsid w:val="000A2960"/>
    <w:rsid w:val="000A3F72"/>
    <w:rsid w:val="000A4A11"/>
    <w:rsid w:val="000A59D4"/>
    <w:rsid w:val="000A5C48"/>
    <w:rsid w:val="000A689E"/>
    <w:rsid w:val="000B0C6D"/>
    <w:rsid w:val="000B4D7F"/>
    <w:rsid w:val="000B5BF8"/>
    <w:rsid w:val="000B5C98"/>
    <w:rsid w:val="000B716F"/>
    <w:rsid w:val="000B7C9E"/>
    <w:rsid w:val="000C0539"/>
    <w:rsid w:val="000C05D0"/>
    <w:rsid w:val="000C1635"/>
    <w:rsid w:val="000C377B"/>
    <w:rsid w:val="000C4B07"/>
    <w:rsid w:val="000C7532"/>
    <w:rsid w:val="000C78BD"/>
    <w:rsid w:val="000D1C2B"/>
    <w:rsid w:val="000E0165"/>
    <w:rsid w:val="000E2AB8"/>
    <w:rsid w:val="000E5BCC"/>
    <w:rsid w:val="000E616F"/>
    <w:rsid w:val="000E6870"/>
    <w:rsid w:val="000E7194"/>
    <w:rsid w:val="000E74B9"/>
    <w:rsid w:val="000E7F76"/>
    <w:rsid w:val="000F1430"/>
    <w:rsid w:val="000F22A6"/>
    <w:rsid w:val="000F22FE"/>
    <w:rsid w:val="000F5DBB"/>
    <w:rsid w:val="000F5FFD"/>
    <w:rsid w:val="000F6422"/>
    <w:rsid w:val="000F6C88"/>
    <w:rsid w:val="0010288E"/>
    <w:rsid w:val="001030C7"/>
    <w:rsid w:val="001039F7"/>
    <w:rsid w:val="001044FF"/>
    <w:rsid w:val="001047F0"/>
    <w:rsid w:val="00105701"/>
    <w:rsid w:val="001057EA"/>
    <w:rsid w:val="00107DBF"/>
    <w:rsid w:val="00111461"/>
    <w:rsid w:val="0011562C"/>
    <w:rsid w:val="0011612C"/>
    <w:rsid w:val="0011645E"/>
    <w:rsid w:val="001167DE"/>
    <w:rsid w:val="001205B3"/>
    <w:rsid w:val="0012107B"/>
    <w:rsid w:val="0012127B"/>
    <w:rsid w:val="0012198C"/>
    <w:rsid w:val="00124299"/>
    <w:rsid w:val="00126941"/>
    <w:rsid w:val="0013002B"/>
    <w:rsid w:val="00130B6B"/>
    <w:rsid w:val="00131BB5"/>
    <w:rsid w:val="001324BC"/>
    <w:rsid w:val="001336D7"/>
    <w:rsid w:val="00137460"/>
    <w:rsid w:val="00142372"/>
    <w:rsid w:val="00142799"/>
    <w:rsid w:val="00142F8E"/>
    <w:rsid w:val="00144EDC"/>
    <w:rsid w:val="001468E1"/>
    <w:rsid w:val="00150EF7"/>
    <w:rsid w:val="00150FF0"/>
    <w:rsid w:val="00154BFE"/>
    <w:rsid w:val="00154FC7"/>
    <w:rsid w:val="00161E70"/>
    <w:rsid w:val="0016572C"/>
    <w:rsid w:val="00165DDE"/>
    <w:rsid w:val="001668DE"/>
    <w:rsid w:val="0017189F"/>
    <w:rsid w:val="00172B42"/>
    <w:rsid w:val="00173929"/>
    <w:rsid w:val="00173E36"/>
    <w:rsid w:val="00174952"/>
    <w:rsid w:val="00180D12"/>
    <w:rsid w:val="00180E9C"/>
    <w:rsid w:val="00185D8F"/>
    <w:rsid w:val="00186B52"/>
    <w:rsid w:val="00191161"/>
    <w:rsid w:val="00191F19"/>
    <w:rsid w:val="00196097"/>
    <w:rsid w:val="001A4EC2"/>
    <w:rsid w:val="001A5B53"/>
    <w:rsid w:val="001A5E03"/>
    <w:rsid w:val="001A6142"/>
    <w:rsid w:val="001A72E3"/>
    <w:rsid w:val="001B1E95"/>
    <w:rsid w:val="001B2BC1"/>
    <w:rsid w:val="001B2F50"/>
    <w:rsid w:val="001C1C2F"/>
    <w:rsid w:val="001C3BF2"/>
    <w:rsid w:val="001C55F6"/>
    <w:rsid w:val="001C5B28"/>
    <w:rsid w:val="001C743F"/>
    <w:rsid w:val="001C74F9"/>
    <w:rsid w:val="001C7AFC"/>
    <w:rsid w:val="001C7CDC"/>
    <w:rsid w:val="001D2DD8"/>
    <w:rsid w:val="001D3413"/>
    <w:rsid w:val="001D3F1D"/>
    <w:rsid w:val="001D404B"/>
    <w:rsid w:val="001D4F75"/>
    <w:rsid w:val="001D5C8B"/>
    <w:rsid w:val="001E20EB"/>
    <w:rsid w:val="001E2A81"/>
    <w:rsid w:val="001E2B27"/>
    <w:rsid w:val="001E33EA"/>
    <w:rsid w:val="001E4E9E"/>
    <w:rsid w:val="001E5CAB"/>
    <w:rsid w:val="001E5EB9"/>
    <w:rsid w:val="001E767E"/>
    <w:rsid w:val="001F1CD0"/>
    <w:rsid w:val="001F1FAC"/>
    <w:rsid w:val="001F37D1"/>
    <w:rsid w:val="001F3C64"/>
    <w:rsid w:val="001F75D8"/>
    <w:rsid w:val="00200B2E"/>
    <w:rsid w:val="002060D7"/>
    <w:rsid w:val="002078C8"/>
    <w:rsid w:val="002078F7"/>
    <w:rsid w:val="00211D30"/>
    <w:rsid w:val="00211E85"/>
    <w:rsid w:val="00213225"/>
    <w:rsid w:val="00217B1C"/>
    <w:rsid w:val="002214A4"/>
    <w:rsid w:val="00221C3F"/>
    <w:rsid w:val="0022278F"/>
    <w:rsid w:val="002234EF"/>
    <w:rsid w:val="0022485E"/>
    <w:rsid w:val="00225B9A"/>
    <w:rsid w:val="00227882"/>
    <w:rsid w:val="00232A93"/>
    <w:rsid w:val="00237703"/>
    <w:rsid w:val="0023781F"/>
    <w:rsid w:val="002405D2"/>
    <w:rsid w:val="00240871"/>
    <w:rsid w:val="00240B9B"/>
    <w:rsid w:val="00243DE1"/>
    <w:rsid w:val="00244524"/>
    <w:rsid w:val="002466E5"/>
    <w:rsid w:val="0025093C"/>
    <w:rsid w:val="002509FF"/>
    <w:rsid w:val="0025123D"/>
    <w:rsid w:val="0025456F"/>
    <w:rsid w:val="00254637"/>
    <w:rsid w:val="0025764E"/>
    <w:rsid w:val="0026095F"/>
    <w:rsid w:val="00261153"/>
    <w:rsid w:val="00261CD4"/>
    <w:rsid w:val="00265F55"/>
    <w:rsid w:val="00266D25"/>
    <w:rsid w:val="00267158"/>
    <w:rsid w:val="002672F8"/>
    <w:rsid w:val="00267923"/>
    <w:rsid w:val="00270544"/>
    <w:rsid w:val="002706BA"/>
    <w:rsid w:val="00271AF8"/>
    <w:rsid w:val="00271C20"/>
    <w:rsid w:val="0027272B"/>
    <w:rsid w:val="00272DA7"/>
    <w:rsid w:val="00273988"/>
    <w:rsid w:val="00275581"/>
    <w:rsid w:val="00276E7E"/>
    <w:rsid w:val="002806A4"/>
    <w:rsid w:val="00280C96"/>
    <w:rsid w:val="00281E1B"/>
    <w:rsid w:val="0028782F"/>
    <w:rsid w:val="00293C0B"/>
    <w:rsid w:val="00294AAC"/>
    <w:rsid w:val="00295A1C"/>
    <w:rsid w:val="00295CCF"/>
    <w:rsid w:val="00297113"/>
    <w:rsid w:val="00297D9F"/>
    <w:rsid w:val="002A087E"/>
    <w:rsid w:val="002A0894"/>
    <w:rsid w:val="002A17A5"/>
    <w:rsid w:val="002A25B1"/>
    <w:rsid w:val="002A2D8A"/>
    <w:rsid w:val="002A3BD7"/>
    <w:rsid w:val="002A48AB"/>
    <w:rsid w:val="002A6129"/>
    <w:rsid w:val="002A7B45"/>
    <w:rsid w:val="002B1C57"/>
    <w:rsid w:val="002B29FA"/>
    <w:rsid w:val="002B2F73"/>
    <w:rsid w:val="002B34FC"/>
    <w:rsid w:val="002B3FAA"/>
    <w:rsid w:val="002B41A8"/>
    <w:rsid w:val="002B5B0A"/>
    <w:rsid w:val="002B6D20"/>
    <w:rsid w:val="002B731A"/>
    <w:rsid w:val="002C09FD"/>
    <w:rsid w:val="002C4B9A"/>
    <w:rsid w:val="002C4CEC"/>
    <w:rsid w:val="002C6C7A"/>
    <w:rsid w:val="002C7AC9"/>
    <w:rsid w:val="002D01B1"/>
    <w:rsid w:val="002D11E0"/>
    <w:rsid w:val="002D2CDB"/>
    <w:rsid w:val="002D3E9A"/>
    <w:rsid w:val="002D52C7"/>
    <w:rsid w:val="002D767B"/>
    <w:rsid w:val="002D7B7F"/>
    <w:rsid w:val="002E4056"/>
    <w:rsid w:val="002E4B3E"/>
    <w:rsid w:val="002E5426"/>
    <w:rsid w:val="002E60B1"/>
    <w:rsid w:val="002E6CBE"/>
    <w:rsid w:val="002E7CA8"/>
    <w:rsid w:val="002F06A7"/>
    <w:rsid w:val="002F1CAE"/>
    <w:rsid w:val="002F338D"/>
    <w:rsid w:val="002F3452"/>
    <w:rsid w:val="002F6CD2"/>
    <w:rsid w:val="00302452"/>
    <w:rsid w:val="00303EA2"/>
    <w:rsid w:val="0030592B"/>
    <w:rsid w:val="00306811"/>
    <w:rsid w:val="00307A4C"/>
    <w:rsid w:val="00314EF1"/>
    <w:rsid w:val="0031658D"/>
    <w:rsid w:val="0031691E"/>
    <w:rsid w:val="00316F49"/>
    <w:rsid w:val="00317041"/>
    <w:rsid w:val="003221B0"/>
    <w:rsid w:val="0032494B"/>
    <w:rsid w:val="00326C4F"/>
    <w:rsid w:val="00326ED0"/>
    <w:rsid w:val="00327E71"/>
    <w:rsid w:val="00331155"/>
    <w:rsid w:val="00332018"/>
    <w:rsid w:val="00332D9E"/>
    <w:rsid w:val="0033434B"/>
    <w:rsid w:val="0033607F"/>
    <w:rsid w:val="0033743F"/>
    <w:rsid w:val="003376EF"/>
    <w:rsid w:val="003378E4"/>
    <w:rsid w:val="00337CC7"/>
    <w:rsid w:val="00340688"/>
    <w:rsid w:val="00342F97"/>
    <w:rsid w:val="003452F9"/>
    <w:rsid w:val="003457D4"/>
    <w:rsid w:val="00346C29"/>
    <w:rsid w:val="00350665"/>
    <w:rsid w:val="0035281C"/>
    <w:rsid w:val="00354C86"/>
    <w:rsid w:val="00354DBA"/>
    <w:rsid w:val="00354FA6"/>
    <w:rsid w:val="00355327"/>
    <w:rsid w:val="00355CF7"/>
    <w:rsid w:val="003563D8"/>
    <w:rsid w:val="00361C81"/>
    <w:rsid w:val="00364207"/>
    <w:rsid w:val="00364813"/>
    <w:rsid w:val="0036506F"/>
    <w:rsid w:val="003659CA"/>
    <w:rsid w:val="00367476"/>
    <w:rsid w:val="003707B1"/>
    <w:rsid w:val="00372005"/>
    <w:rsid w:val="003729D1"/>
    <w:rsid w:val="00374AEF"/>
    <w:rsid w:val="00375055"/>
    <w:rsid w:val="003759E9"/>
    <w:rsid w:val="003767BA"/>
    <w:rsid w:val="00381498"/>
    <w:rsid w:val="0038202E"/>
    <w:rsid w:val="00382BDF"/>
    <w:rsid w:val="0038726F"/>
    <w:rsid w:val="003904C5"/>
    <w:rsid w:val="003933BE"/>
    <w:rsid w:val="00397544"/>
    <w:rsid w:val="003A04CA"/>
    <w:rsid w:val="003A12CC"/>
    <w:rsid w:val="003A25F2"/>
    <w:rsid w:val="003A33DD"/>
    <w:rsid w:val="003A342A"/>
    <w:rsid w:val="003A3484"/>
    <w:rsid w:val="003A34DE"/>
    <w:rsid w:val="003A3852"/>
    <w:rsid w:val="003A5A97"/>
    <w:rsid w:val="003A77BB"/>
    <w:rsid w:val="003B07D9"/>
    <w:rsid w:val="003B088D"/>
    <w:rsid w:val="003B1894"/>
    <w:rsid w:val="003B250C"/>
    <w:rsid w:val="003B39AB"/>
    <w:rsid w:val="003B3AD8"/>
    <w:rsid w:val="003B444E"/>
    <w:rsid w:val="003B6802"/>
    <w:rsid w:val="003B7A52"/>
    <w:rsid w:val="003B7B2F"/>
    <w:rsid w:val="003C20F4"/>
    <w:rsid w:val="003C435E"/>
    <w:rsid w:val="003C452A"/>
    <w:rsid w:val="003C49BB"/>
    <w:rsid w:val="003C4AAC"/>
    <w:rsid w:val="003C791E"/>
    <w:rsid w:val="003D1F85"/>
    <w:rsid w:val="003D2039"/>
    <w:rsid w:val="003D2ADB"/>
    <w:rsid w:val="003D56CF"/>
    <w:rsid w:val="003D6968"/>
    <w:rsid w:val="003D6D34"/>
    <w:rsid w:val="003D7A1A"/>
    <w:rsid w:val="003E0821"/>
    <w:rsid w:val="003E0A00"/>
    <w:rsid w:val="003E0D5E"/>
    <w:rsid w:val="003E11D2"/>
    <w:rsid w:val="003E2194"/>
    <w:rsid w:val="003E31E1"/>
    <w:rsid w:val="003E327F"/>
    <w:rsid w:val="003E37E0"/>
    <w:rsid w:val="003F0450"/>
    <w:rsid w:val="003F0459"/>
    <w:rsid w:val="003F07DA"/>
    <w:rsid w:val="003F1096"/>
    <w:rsid w:val="003F1C72"/>
    <w:rsid w:val="003F69A7"/>
    <w:rsid w:val="004002DA"/>
    <w:rsid w:val="004022A7"/>
    <w:rsid w:val="00404A5A"/>
    <w:rsid w:val="00411D9C"/>
    <w:rsid w:val="004128EE"/>
    <w:rsid w:val="0041360F"/>
    <w:rsid w:val="00413615"/>
    <w:rsid w:val="004145A1"/>
    <w:rsid w:val="00415765"/>
    <w:rsid w:val="00416466"/>
    <w:rsid w:val="00420BD0"/>
    <w:rsid w:val="00421486"/>
    <w:rsid w:val="0042151D"/>
    <w:rsid w:val="004250A3"/>
    <w:rsid w:val="00426007"/>
    <w:rsid w:val="00426919"/>
    <w:rsid w:val="00426C77"/>
    <w:rsid w:val="00426C8C"/>
    <w:rsid w:val="00431370"/>
    <w:rsid w:val="00434517"/>
    <w:rsid w:val="004358F4"/>
    <w:rsid w:val="004367F6"/>
    <w:rsid w:val="00444434"/>
    <w:rsid w:val="00447642"/>
    <w:rsid w:val="00447D5A"/>
    <w:rsid w:val="00450421"/>
    <w:rsid w:val="00450673"/>
    <w:rsid w:val="004510D6"/>
    <w:rsid w:val="00451CB4"/>
    <w:rsid w:val="00452677"/>
    <w:rsid w:val="004538DA"/>
    <w:rsid w:val="00455D94"/>
    <w:rsid w:val="004613E0"/>
    <w:rsid w:val="00461AC6"/>
    <w:rsid w:val="00461E3D"/>
    <w:rsid w:val="00462BE0"/>
    <w:rsid w:val="00464331"/>
    <w:rsid w:val="0046438E"/>
    <w:rsid w:val="00465E96"/>
    <w:rsid w:val="004662EC"/>
    <w:rsid w:val="00466649"/>
    <w:rsid w:val="004667C2"/>
    <w:rsid w:val="0047053E"/>
    <w:rsid w:val="00471455"/>
    <w:rsid w:val="004735BC"/>
    <w:rsid w:val="00474137"/>
    <w:rsid w:val="00474F28"/>
    <w:rsid w:val="00475269"/>
    <w:rsid w:val="00481D0E"/>
    <w:rsid w:val="00485D23"/>
    <w:rsid w:val="00486073"/>
    <w:rsid w:val="00486137"/>
    <w:rsid w:val="00492F5A"/>
    <w:rsid w:val="004933C2"/>
    <w:rsid w:val="004938E7"/>
    <w:rsid w:val="0049522F"/>
    <w:rsid w:val="0049590A"/>
    <w:rsid w:val="00495B23"/>
    <w:rsid w:val="0049724E"/>
    <w:rsid w:val="004972BE"/>
    <w:rsid w:val="004A1C93"/>
    <w:rsid w:val="004A3329"/>
    <w:rsid w:val="004A3DAF"/>
    <w:rsid w:val="004A4554"/>
    <w:rsid w:val="004B4EF4"/>
    <w:rsid w:val="004B56DE"/>
    <w:rsid w:val="004B7295"/>
    <w:rsid w:val="004B7B28"/>
    <w:rsid w:val="004C000D"/>
    <w:rsid w:val="004C046C"/>
    <w:rsid w:val="004C41D4"/>
    <w:rsid w:val="004C425E"/>
    <w:rsid w:val="004C454F"/>
    <w:rsid w:val="004C7B3C"/>
    <w:rsid w:val="004C7B3E"/>
    <w:rsid w:val="004D03EF"/>
    <w:rsid w:val="004D2020"/>
    <w:rsid w:val="004D2D8A"/>
    <w:rsid w:val="004D4EBA"/>
    <w:rsid w:val="004D506F"/>
    <w:rsid w:val="004D660E"/>
    <w:rsid w:val="004D66B5"/>
    <w:rsid w:val="004D69EC"/>
    <w:rsid w:val="004D7AA4"/>
    <w:rsid w:val="004E0A23"/>
    <w:rsid w:val="004E0A9D"/>
    <w:rsid w:val="004E1676"/>
    <w:rsid w:val="004E32F7"/>
    <w:rsid w:val="004E3B59"/>
    <w:rsid w:val="004E402A"/>
    <w:rsid w:val="004E5E20"/>
    <w:rsid w:val="004E649F"/>
    <w:rsid w:val="004E6F6C"/>
    <w:rsid w:val="004F0846"/>
    <w:rsid w:val="004F223B"/>
    <w:rsid w:val="004F4A2F"/>
    <w:rsid w:val="004F524B"/>
    <w:rsid w:val="004F5D61"/>
    <w:rsid w:val="004F605E"/>
    <w:rsid w:val="004F7CAF"/>
    <w:rsid w:val="00501347"/>
    <w:rsid w:val="005017EE"/>
    <w:rsid w:val="00501A29"/>
    <w:rsid w:val="00503F11"/>
    <w:rsid w:val="00507649"/>
    <w:rsid w:val="00511C30"/>
    <w:rsid w:val="005120EF"/>
    <w:rsid w:val="0051402A"/>
    <w:rsid w:val="00517C9F"/>
    <w:rsid w:val="00521AB2"/>
    <w:rsid w:val="00522649"/>
    <w:rsid w:val="00522E43"/>
    <w:rsid w:val="00524533"/>
    <w:rsid w:val="00524652"/>
    <w:rsid w:val="00526A5E"/>
    <w:rsid w:val="00526D57"/>
    <w:rsid w:val="00536110"/>
    <w:rsid w:val="00537BA3"/>
    <w:rsid w:val="00537FF0"/>
    <w:rsid w:val="00540E52"/>
    <w:rsid w:val="00542B1D"/>
    <w:rsid w:val="00543835"/>
    <w:rsid w:val="0054553F"/>
    <w:rsid w:val="005458BC"/>
    <w:rsid w:val="005500C5"/>
    <w:rsid w:val="005511CD"/>
    <w:rsid w:val="005565CD"/>
    <w:rsid w:val="00557281"/>
    <w:rsid w:val="00561533"/>
    <w:rsid w:val="005624F1"/>
    <w:rsid w:val="005641CB"/>
    <w:rsid w:val="0056532E"/>
    <w:rsid w:val="005668C6"/>
    <w:rsid w:val="005671FE"/>
    <w:rsid w:val="0057324B"/>
    <w:rsid w:val="00573AD1"/>
    <w:rsid w:val="00575BD1"/>
    <w:rsid w:val="005765A2"/>
    <w:rsid w:val="005846D6"/>
    <w:rsid w:val="00584ADB"/>
    <w:rsid w:val="00586350"/>
    <w:rsid w:val="005910CC"/>
    <w:rsid w:val="00591624"/>
    <w:rsid w:val="00595271"/>
    <w:rsid w:val="005963B3"/>
    <w:rsid w:val="005A00EF"/>
    <w:rsid w:val="005A2D11"/>
    <w:rsid w:val="005A3BE9"/>
    <w:rsid w:val="005A425B"/>
    <w:rsid w:val="005A43D9"/>
    <w:rsid w:val="005A7E55"/>
    <w:rsid w:val="005B3CE2"/>
    <w:rsid w:val="005B6929"/>
    <w:rsid w:val="005B6DEA"/>
    <w:rsid w:val="005B7C33"/>
    <w:rsid w:val="005C00F1"/>
    <w:rsid w:val="005C04D9"/>
    <w:rsid w:val="005C1DEC"/>
    <w:rsid w:val="005C20A4"/>
    <w:rsid w:val="005C35B7"/>
    <w:rsid w:val="005C57F2"/>
    <w:rsid w:val="005C5F77"/>
    <w:rsid w:val="005C7A08"/>
    <w:rsid w:val="005D01F2"/>
    <w:rsid w:val="005D12FD"/>
    <w:rsid w:val="005D167C"/>
    <w:rsid w:val="005D29F5"/>
    <w:rsid w:val="005D3C7E"/>
    <w:rsid w:val="005D3E02"/>
    <w:rsid w:val="005D40C2"/>
    <w:rsid w:val="005D4CD7"/>
    <w:rsid w:val="005D7908"/>
    <w:rsid w:val="005E131A"/>
    <w:rsid w:val="005E1DF4"/>
    <w:rsid w:val="005E59B0"/>
    <w:rsid w:val="005E5C36"/>
    <w:rsid w:val="005E74F2"/>
    <w:rsid w:val="005E7DD1"/>
    <w:rsid w:val="005E7FE9"/>
    <w:rsid w:val="005F0974"/>
    <w:rsid w:val="005F0BA5"/>
    <w:rsid w:val="005F200C"/>
    <w:rsid w:val="005F3B9D"/>
    <w:rsid w:val="005F3F10"/>
    <w:rsid w:val="005F48E2"/>
    <w:rsid w:val="005F56E0"/>
    <w:rsid w:val="005F627B"/>
    <w:rsid w:val="005F73B7"/>
    <w:rsid w:val="00600AB1"/>
    <w:rsid w:val="00604AD5"/>
    <w:rsid w:val="00606B3A"/>
    <w:rsid w:val="006074E9"/>
    <w:rsid w:val="0061005B"/>
    <w:rsid w:val="00610175"/>
    <w:rsid w:val="006103C6"/>
    <w:rsid w:val="00611B87"/>
    <w:rsid w:val="00611CF8"/>
    <w:rsid w:val="006124E5"/>
    <w:rsid w:val="00612503"/>
    <w:rsid w:val="00612B55"/>
    <w:rsid w:val="00612B79"/>
    <w:rsid w:val="00612FFB"/>
    <w:rsid w:val="00616AB5"/>
    <w:rsid w:val="00617E15"/>
    <w:rsid w:val="00620AB2"/>
    <w:rsid w:val="006225A3"/>
    <w:rsid w:val="00624784"/>
    <w:rsid w:val="00624CED"/>
    <w:rsid w:val="006250C2"/>
    <w:rsid w:val="006277E9"/>
    <w:rsid w:val="00631C1A"/>
    <w:rsid w:val="00632044"/>
    <w:rsid w:val="00633C36"/>
    <w:rsid w:val="0063408F"/>
    <w:rsid w:val="00634E5C"/>
    <w:rsid w:val="0063513F"/>
    <w:rsid w:val="00635899"/>
    <w:rsid w:val="00635E28"/>
    <w:rsid w:val="00636ADE"/>
    <w:rsid w:val="00636C11"/>
    <w:rsid w:val="00641B52"/>
    <w:rsid w:val="006425BF"/>
    <w:rsid w:val="00642794"/>
    <w:rsid w:val="00645D32"/>
    <w:rsid w:val="0064685F"/>
    <w:rsid w:val="0065546D"/>
    <w:rsid w:val="00655F89"/>
    <w:rsid w:val="0065690F"/>
    <w:rsid w:val="00656EE6"/>
    <w:rsid w:val="006600E2"/>
    <w:rsid w:val="006617F2"/>
    <w:rsid w:val="00662856"/>
    <w:rsid w:val="0066300D"/>
    <w:rsid w:val="00663DD3"/>
    <w:rsid w:val="00665930"/>
    <w:rsid w:val="00667E34"/>
    <w:rsid w:val="006713F1"/>
    <w:rsid w:val="0067184F"/>
    <w:rsid w:val="00672EEC"/>
    <w:rsid w:val="00674C9F"/>
    <w:rsid w:val="0067579B"/>
    <w:rsid w:val="00675E49"/>
    <w:rsid w:val="0067664F"/>
    <w:rsid w:val="00676758"/>
    <w:rsid w:val="00683A87"/>
    <w:rsid w:val="00685864"/>
    <w:rsid w:val="006876D2"/>
    <w:rsid w:val="0069134F"/>
    <w:rsid w:val="006935F2"/>
    <w:rsid w:val="00694341"/>
    <w:rsid w:val="00694982"/>
    <w:rsid w:val="006A348D"/>
    <w:rsid w:val="006A42FA"/>
    <w:rsid w:val="006A48CA"/>
    <w:rsid w:val="006A5780"/>
    <w:rsid w:val="006B0120"/>
    <w:rsid w:val="006B07DE"/>
    <w:rsid w:val="006B1124"/>
    <w:rsid w:val="006B14AC"/>
    <w:rsid w:val="006B2126"/>
    <w:rsid w:val="006B3B53"/>
    <w:rsid w:val="006B3E70"/>
    <w:rsid w:val="006B4B29"/>
    <w:rsid w:val="006B64BB"/>
    <w:rsid w:val="006B7C77"/>
    <w:rsid w:val="006C02B9"/>
    <w:rsid w:val="006C03CC"/>
    <w:rsid w:val="006C1BDE"/>
    <w:rsid w:val="006C36A4"/>
    <w:rsid w:val="006C3E92"/>
    <w:rsid w:val="006C6169"/>
    <w:rsid w:val="006C6673"/>
    <w:rsid w:val="006C7D42"/>
    <w:rsid w:val="006D1BDC"/>
    <w:rsid w:val="006D3EBD"/>
    <w:rsid w:val="006D4442"/>
    <w:rsid w:val="006D4F5B"/>
    <w:rsid w:val="006D5F6D"/>
    <w:rsid w:val="006E040A"/>
    <w:rsid w:val="006E1807"/>
    <w:rsid w:val="006E420E"/>
    <w:rsid w:val="006E45A2"/>
    <w:rsid w:val="006E526E"/>
    <w:rsid w:val="006E7E4D"/>
    <w:rsid w:val="006F62D6"/>
    <w:rsid w:val="006F6AE8"/>
    <w:rsid w:val="006F6B3A"/>
    <w:rsid w:val="006F6BC3"/>
    <w:rsid w:val="006F73B0"/>
    <w:rsid w:val="006F7987"/>
    <w:rsid w:val="00701306"/>
    <w:rsid w:val="00702489"/>
    <w:rsid w:val="00706831"/>
    <w:rsid w:val="007068D9"/>
    <w:rsid w:val="00706F07"/>
    <w:rsid w:val="00707F50"/>
    <w:rsid w:val="00710B62"/>
    <w:rsid w:val="00711F90"/>
    <w:rsid w:val="007124C7"/>
    <w:rsid w:val="00712A64"/>
    <w:rsid w:val="007148D4"/>
    <w:rsid w:val="0071561B"/>
    <w:rsid w:val="00715DD4"/>
    <w:rsid w:val="0071754E"/>
    <w:rsid w:val="0072006B"/>
    <w:rsid w:val="00722872"/>
    <w:rsid w:val="00722C57"/>
    <w:rsid w:val="0072480F"/>
    <w:rsid w:val="007301E2"/>
    <w:rsid w:val="00731488"/>
    <w:rsid w:val="007338C1"/>
    <w:rsid w:val="0073610F"/>
    <w:rsid w:val="007362AD"/>
    <w:rsid w:val="007377AA"/>
    <w:rsid w:val="00741C9A"/>
    <w:rsid w:val="00743D8A"/>
    <w:rsid w:val="00745F17"/>
    <w:rsid w:val="007463EB"/>
    <w:rsid w:val="007503FA"/>
    <w:rsid w:val="0075071C"/>
    <w:rsid w:val="00751B4A"/>
    <w:rsid w:val="00753E4E"/>
    <w:rsid w:val="007544AE"/>
    <w:rsid w:val="00755639"/>
    <w:rsid w:val="00755737"/>
    <w:rsid w:val="00755A65"/>
    <w:rsid w:val="0075752F"/>
    <w:rsid w:val="007652C8"/>
    <w:rsid w:val="00765989"/>
    <w:rsid w:val="0076768F"/>
    <w:rsid w:val="0076791D"/>
    <w:rsid w:val="00770921"/>
    <w:rsid w:val="00773FED"/>
    <w:rsid w:val="007749F5"/>
    <w:rsid w:val="00775294"/>
    <w:rsid w:val="00776D28"/>
    <w:rsid w:val="00780CC7"/>
    <w:rsid w:val="0078109A"/>
    <w:rsid w:val="0078156E"/>
    <w:rsid w:val="00781C0C"/>
    <w:rsid w:val="00782919"/>
    <w:rsid w:val="00783520"/>
    <w:rsid w:val="00783527"/>
    <w:rsid w:val="00783545"/>
    <w:rsid w:val="00785310"/>
    <w:rsid w:val="007857FC"/>
    <w:rsid w:val="007879D0"/>
    <w:rsid w:val="007913DC"/>
    <w:rsid w:val="00791C82"/>
    <w:rsid w:val="00791FBD"/>
    <w:rsid w:val="007958F1"/>
    <w:rsid w:val="00797EE4"/>
    <w:rsid w:val="007A037B"/>
    <w:rsid w:val="007A165F"/>
    <w:rsid w:val="007A16D0"/>
    <w:rsid w:val="007A43BC"/>
    <w:rsid w:val="007A4BA2"/>
    <w:rsid w:val="007A5A62"/>
    <w:rsid w:val="007B00E1"/>
    <w:rsid w:val="007B070E"/>
    <w:rsid w:val="007B2646"/>
    <w:rsid w:val="007B2C48"/>
    <w:rsid w:val="007B3646"/>
    <w:rsid w:val="007B36D3"/>
    <w:rsid w:val="007B3848"/>
    <w:rsid w:val="007B4ACD"/>
    <w:rsid w:val="007B4D7D"/>
    <w:rsid w:val="007B539D"/>
    <w:rsid w:val="007B5DD8"/>
    <w:rsid w:val="007B7517"/>
    <w:rsid w:val="007C060B"/>
    <w:rsid w:val="007C07BF"/>
    <w:rsid w:val="007C0CFE"/>
    <w:rsid w:val="007C2C9B"/>
    <w:rsid w:val="007C3339"/>
    <w:rsid w:val="007C5681"/>
    <w:rsid w:val="007C5A51"/>
    <w:rsid w:val="007C5F4F"/>
    <w:rsid w:val="007D0078"/>
    <w:rsid w:val="007D2CB2"/>
    <w:rsid w:val="007D3878"/>
    <w:rsid w:val="007D473B"/>
    <w:rsid w:val="007D627D"/>
    <w:rsid w:val="007D6BB7"/>
    <w:rsid w:val="007D7D7F"/>
    <w:rsid w:val="007E07DF"/>
    <w:rsid w:val="007E167D"/>
    <w:rsid w:val="007E1CB4"/>
    <w:rsid w:val="007E2ADD"/>
    <w:rsid w:val="007E36F3"/>
    <w:rsid w:val="007E4048"/>
    <w:rsid w:val="007E7028"/>
    <w:rsid w:val="007F6251"/>
    <w:rsid w:val="007F661C"/>
    <w:rsid w:val="00800B37"/>
    <w:rsid w:val="00800DCB"/>
    <w:rsid w:val="0080251D"/>
    <w:rsid w:val="0080324B"/>
    <w:rsid w:val="0080404A"/>
    <w:rsid w:val="0081281A"/>
    <w:rsid w:val="00812E23"/>
    <w:rsid w:val="008146DA"/>
    <w:rsid w:val="008149DA"/>
    <w:rsid w:val="00816698"/>
    <w:rsid w:val="00816A49"/>
    <w:rsid w:val="00816E5F"/>
    <w:rsid w:val="0082219F"/>
    <w:rsid w:val="00822639"/>
    <w:rsid w:val="00822EA4"/>
    <w:rsid w:val="00824678"/>
    <w:rsid w:val="00824B8C"/>
    <w:rsid w:val="00824E7F"/>
    <w:rsid w:val="00825FBA"/>
    <w:rsid w:val="00826204"/>
    <w:rsid w:val="00826A14"/>
    <w:rsid w:val="00826C6F"/>
    <w:rsid w:val="0082792E"/>
    <w:rsid w:val="00831454"/>
    <w:rsid w:val="00832CE6"/>
    <w:rsid w:val="00834193"/>
    <w:rsid w:val="008348A1"/>
    <w:rsid w:val="00836821"/>
    <w:rsid w:val="00836F41"/>
    <w:rsid w:val="00841F5C"/>
    <w:rsid w:val="00845728"/>
    <w:rsid w:val="00845E2F"/>
    <w:rsid w:val="008517B7"/>
    <w:rsid w:val="008526FB"/>
    <w:rsid w:val="008539F7"/>
    <w:rsid w:val="00863D37"/>
    <w:rsid w:val="00863F2B"/>
    <w:rsid w:val="00864E3A"/>
    <w:rsid w:val="008650E7"/>
    <w:rsid w:val="00867F1D"/>
    <w:rsid w:val="008720B5"/>
    <w:rsid w:val="008724CB"/>
    <w:rsid w:val="0087259E"/>
    <w:rsid w:val="00872F59"/>
    <w:rsid w:val="008750A1"/>
    <w:rsid w:val="00877A79"/>
    <w:rsid w:val="00880EDC"/>
    <w:rsid w:val="00881599"/>
    <w:rsid w:val="00881F16"/>
    <w:rsid w:val="00885DA7"/>
    <w:rsid w:val="0088633F"/>
    <w:rsid w:val="0088646D"/>
    <w:rsid w:val="008864F1"/>
    <w:rsid w:val="008925D7"/>
    <w:rsid w:val="00895294"/>
    <w:rsid w:val="00895C82"/>
    <w:rsid w:val="00896178"/>
    <w:rsid w:val="008A110F"/>
    <w:rsid w:val="008A2627"/>
    <w:rsid w:val="008A31B9"/>
    <w:rsid w:val="008A415C"/>
    <w:rsid w:val="008A4541"/>
    <w:rsid w:val="008A6ED8"/>
    <w:rsid w:val="008B17E9"/>
    <w:rsid w:val="008B1CDD"/>
    <w:rsid w:val="008B39C9"/>
    <w:rsid w:val="008C1608"/>
    <w:rsid w:val="008C24D0"/>
    <w:rsid w:val="008C3AA5"/>
    <w:rsid w:val="008C46D6"/>
    <w:rsid w:val="008C577B"/>
    <w:rsid w:val="008C63F8"/>
    <w:rsid w:val="008D147F"/>
    <w:rsid w:val="008D1E25"/>
    <w:rsid w:val="008D239A"/>
    <w:rsid w:val="008D32D8"/>
    <w:rsid w:val="008D5B70"/>
    <w:rsid w:val="008D6542"/>
    <w:rsid w:val="008D65A6"/>
    <w:rsid w:val="008D68E2"/>
    <w:rsid w:val="008D75D4"/>
    <w:rsid w:val="008D7D77"/>
    <w:rsid w:val="008E192E"/>
    <w:rsid w:val="008E4736"/>
    <w:rsid w:val="008E56D2"/>
    <w:rsid w:val="008E5C42"/>
    <w:rsid w:val="008E6F22"/>
    <w:rsid w:val="008E7423"/>
    <w:rsid w:val="008F02D9"/>
    <w:rsid w:val="008F08E3"/>
    <w:rsid w:val="008F10E7"/>
    <w:rsid w:val="008F17AB"/>
    <w:rsid w:val="008F60CE"/>
    <w:rsid w:val="00901CC9"/>
    <w:rsid w:val="009025C4"/>
    <w:rsid w:val="009028DA"/>
    <w:rsid w:val="00902A36"/>
    <w:rsid w:val="00905846"/>
    <w:rsid w:val="00905848"/>
    <w:rsid w:val="00906D94"/>
    <w:rsid w:val="00907035"/>
    <w:rsid w:val="0090724A"/>
    <w:rsid w:val="00910014"/>
    <w:rsid w:val="0091054F"/>
    <w:rsid w:val="0091427B"/>
    <w:rsid w:val="00914D83"/>
    <w:rsid w:val="0091703C"/>
    <w:rsid w:val="00920370"/>
    <w:rsid w:val="0092096E"/>
    <w:rsid w:val="009219A7"/>
    <w:rsid w:val="00921A5B"/>
    <w:rsid w:val="00921BE3"/>
    <w:rsid w:val="00924A47"/>
    <w:rsid w:val="00927AB9"/>
    <w:rsid w:val="0093053E"/>
    <w:rsid w:val="009310BF"/>
    <w:rsid w:val="009311E2"/>
    <w:rsid w:val="009326E8"/>
    <w:rsid w:val="00932701"/>
    <w:rsid w:val="00933068"/>
    <w:rsid w:val="00933AC9"/>
    <w:rsid w:val="0093459A"/>
    <w:rsid w:val="00935918"/>
    <w:rsid w:val="00935BF4"/>
    <w:rsid w:val="009366D2"/>
    <w:rsid w:val="00936D40"/>
    <w:rsid w:val="009371A9"/>
    <w:rsid w:val="009440AF"/>
    <w:rsid w:val="00945628"/>
    <w:rsid w:val="00945720"/>
    <w:rsid w:val="009460CC"/>
    <w:rsid w:val="009467D9"/>
    <w:rsid w:val="0094766A"/>
    <w:rsid w:val="009503B5"/>
    <w:rsid w:val="00950EC0"/>
    <w:rsid w:val="00951D72"/>
    <w:rsid w:val="00952E23"/>
    <w:rsid w:val="00953063"/>
    <w:rsid w:val="009608E4"/>
    <w:rsid w:val="009610BB"/>
    <w:rsid w:val="00963131"/>
    <w:rsid w:val="009633E3"/>
    <w:rsid w:val="009658AA"/>
    <w:rsid w:val="00965C40"/>
    <w:rsid w:val="009663E0"/>
    <w:rsid w:val="00967820"/>
    <w:rsid w:val="00967FBA"/>
    <w:rsid w:val="0097192D"/>
    <w:rsid w:val="00972107"/>
    <w:rsid w:val="00972D3B"/>
    <w:rsid w:val="0097369C"/>
    <w:rsid w:val="00973EAE"/>
    <w:rsid w:val="009751F4"/>
    <w:rsid w:val="00977828"/>
    <w:rsid w:val="009818E7"/>
    <w:rsid w:val="00982692"/>
    <w:rsid w:val="0098669A"/>
    <w:rsid w:val="00987A37"/>
    <w:rsid w:val="009909AD"/>
    <w:rsid w:val="009912F8"/>
    <w:rsid w:val="00991ADA"/>
    <w:rsid w:val="009927DC"/>
    <w:rsid w:val="009936FB"/>
    <w:rsid w:val="0099539E"/>
    <w:rsid w:val="00995ED9"/>
    <w:rsid w:val="009966C1"/>
    <w:rsid w:val="009978B5"/>
    <w:rsid w:val="00997948"/>
    <w:rsid w:val="009A289B"/>
    <w:rsid w:val="009A3317"/>
    <w:rsid w:val="009A3697"/>
    <w:rsid w:val="009A4502"/>
    <w:rsid w:val="009A4728"/>
    <w:rsid w:val="009A62B1"/>
    <w:rsid w:val="009B3B0A"/>
    <w:rsid w:val="009B3B5D"/>
    <w:rsid w:val="009B41D5"/>
    <w:rsid w:val="009B5021"/>
    <w:rsid w:val="009B5C12"/>
    <w:rsid w:val="009B6472"/>
    <w:rsid w:val="009C0A76"/>
    <w:rsid w:val="009C1A7A"/>
    <w:rsid w:val="009C283C"/>
    <w:rsid w:val="009C2B6E"/>
    <w:rsid w:val="009C311C"/>
    <w:rsid w:val="009C3F05"/>
    <w:rsid w:val="009C62F7"/>
    <w:rsid w:val="009D004D"/>
    <w:rsid w:val="009D2186"/>
    <w:rsid w:val="009D536F"/>
    <w:rsid w:val="009D5AE3"/>
    <w:rsid w:val="009E06A6"/>
    <w:rsid w:val="009E18B2"/>
    <w:rsid w:val="009E20B2"/>
    <w:rsid w:val="009E5BC8"/>
    <w:rsid w:val="009E695B"/>
    <w:rsid w:val="009E7E40"/>
    <w:rsid w:val="009F1A90"/>
    <w:rsid w:val="009F3351"/>
    <w:rsid w:val="009F6566"/>
    <w:rsid w:val="00A01787"/>
    <w:rsid w:val="00A02598"/>
    <w:rsid w:val="00A02A96"/>
    <w:rsid w:val="00A03F03"/>
    <w:rsid w:val="00A042C3"/>
    <w:rsid w:val="00A062EC"/>
    <w:rsid w:val="00A06E76"/>
    <w:rsid w:val="00A07149"/>
    <w:rsid w:val="00A1201C"/>
    <w:rsid w:val="00A12E35"/>
    <w:rsid w:val="00A130D9"/>
    <w:rsid w:val="00A14DD8"/>
    <w:rsid w:val="00A164DB"/>
    <w:rsid w:val="00A1660F"/>
    <w:rsid w:val="00A17177"/>
    <w:rsid w:val="00A178F2"/>
    <w:rsid w:val="00A208D2"/>
    <w:rsid w:val="00A20A1A"/>
    <w:rsid w:val="00A21542"/>
    <w:rsid w:val="00A2196F"/>
    <w:rsid w:val="00A23857"/>
    <w:rsid w:val="00A2400D"/>
    <w:rsid w:val="00A2445E"/>
    <w:rsid w:val="00A26205"/>
    <w:rsid w:val="00A27872"/>
    <w:rsid w:val="00A27BF8"/>
    <w:rsid w:val="00A30BDF"/>
    <w:rsid w:val="00A30FA7"/>
    <w:rsid w:val="00A3221C"/>
    <w:rsid w:val="00A3281F"/>
    <w:rsid w:val="00A340FC"/>
    <w:rsid w:val="00A35269"/>
    <w:rsid w:val="00A36727"/>
    <w:rsid w:val="00A36A17"/>
    <w:rsid w:val="00A40284"/>
    <w:rsid w:val="00A40813"/>
    <w:rsid w:val="00A4149D"/>
    <w:rsid w:val="00A414CA"/>
    <w:rsid w:val="00A418D0"/>
    <w:rsid w:val="00A42B7B"/>
    <w:rsid w:val="00A4439F"/>
    <w:rsid w:val="00A4495A"/>
    <w:rsid w:val="00A456AD"/>
    <w:rsid w:val="00A45F73"/>
    <w:rsid w:val="00A46139"/>
    <w:rsid w:val="00A472D2"/>
    <w:rsid w:val="00A515E6"/>
    <w:rsid w:val="00A54231"/>
    <w:rsid w:val="00A5451C"/>
    <w:rsid w:val="00A554A1"/>
    <w:rsid w:val="00A56D12"/>
    <w:rsid w:val="00A60F69"/>
    <w:rsid w:val="00A620A5"/>
    <w:rsid w:val="00A63224"/>
    <w:rsid w:val="00A65919"/>
    <w:rsid w:val="00A67687"/>
    <w:rsid w:val="00A67BA9"/>
    <w:rsid w:val="00A70485"/>
    <w:rsid w:val="00A70EAB"/>
    <w:rsid w:val="00A71F3C"/>
    <w:rsid w:val="00A72DB1"/>
    <w:rsid w:val="00A73F8B"/>
    <w:rsid w:val="00A74AAA"/>
    <w:rsid w:val="00A74F58"/>
    <w:rsid w:val="00A75099"/>
    <w:rsid w:val="00A7555C"/>
    <w:rsid w:val="00A77E24"/>
    <w:rsid w:val="00A806A0"/>
    <w:rsid w:val="00A80D20"/>
    <w:rsid w:val="00A8146F"/>
    <w:rsid w:val="00A8189C"/>
    <w:rsid w:val="00A81E63"/>
    <w:rsid w:val="00A82333"/>
    <w:rsid w:val="00A83E0F"/>
    <w:rsid w:val="00A857AD"/>
    <w:rsid w:val="00A86111"/>
    <w:rsid w:val="00A86807"/>
    <w:rsid w:val="00A87D60"/>
    <w:rsid w:val="00A90E49"/>
    <w:rsid w:val="00A91937"/>
    <w:rsid w:val="00A91DD4"/>
    <w:rsid w:val="00A9265C"/>
    <w:rsid w:val="00A95AA5"/>
    <w:rsid w:val="00A96B60"/>
    <w:rsid w:val="00A96E87"/>
    <w:rsid w:val="00A9751E"/>
    <w:rsid w:val="00A97737"/>
    <w:rsid w:val="00A97E5B"/>
    <w:rsid w:val="00AA2C6A"/>
    <w:rsid w:val="00AA3E52"/>
    <w:rsid w:val="00AA4838"/>
    <w:rsid w:val="00AA6F3D"/>
    <w:rsid w:val="00AA773F"/>
    <w:rsid w:val="00AA7BED"/>
    <w:rsid w:val="00AB08F3"/>
    <w:rsid w:val="00AB25A7"/>
    <w:rsid w:val="00AB30C8"/>
    <w:rsid w:val="00AB31CD"/>
    <w:rsid w:val="00AB48C2"/>
    <w:rsid w:val="00AB4A4E"/>
    <w:rsid w:val="00AB4E8B"/>
    <w:rsid w:val="00AB5BD3"/>
    <w:rsid w:val="00AB6C27"/>
    <w:rsid w:val="00AB7B63"/>
    <w:rsid w:val="00AB7F21"/>
    <w:rsid w:val="00AC0D7F"/>
    <w:rsid w:val="00AC131A"/>
    <w:rsid w:val="00AC258E"/>
    <w:rsid w:val="00AC4CF3"/>
    <w:rsid w:val="00AC7DB1"/>
    <w:rsid w:val="00AD155A"/>
    <w:rsid w:val="00AD249C"/>
    <w:rsid w:val="00AD322C"/>
    <w:rsid w:val="00AD3FA5"/>
    <w:rsid w:val="00AD43D4"/>
    <w:rsid w:val="00AD4ED2"/>
    <w:rsid w:val="00AE23D5"/>
    <w:rsid w:val="00AE3A28"/>
    <w:rsid w:val="00AE53EC"/>
    <w:rsid w:val="00AF0220"/>
    <w:rsid w:val="00AF3154"/>
    <w:rsid w:val="00AF6A60"/>
    <w:rsid w:val="00AF7227"/>
    <w:rsid w:val="00B00241"/>
    <w:rsid w:val="00B00EEA"/>
    <w:rsid w:val="00B01407"/>
    <w:rsid w:val="00B0177B"/>
    <w:rsid w:val="00B0620E"/>
    <w:rsid w:val="00B0718A"/>
    <w:rsid w:val="00B105EF"/>
    <w:rsid w:val="00B113AC"/>
    <w:rsid w:val="00B1532A"/>
    <w:rsid w:val="00B15A3D"/>
    <w:rsid w:val="00B177A4"/>
    <w:rsid w:val="00B2115F"/>
    <w:rsid w:val="00B21645"/>
    <w:rsid w:val="00B21DD8"/>
    <w:rsid w:val="00B2303A"/>
    <w:rsid w:val="00B230AE"/>
    <w:rsid w:val="00B2325B"/>
    <w:rsid w:val="00B2473F"/>
    <w:rsid w:val="00B24793"/>
    <w:rsid w:val="00B24EB7"/>
    <w:rsid w:val="00B2541D"/>
    <w:rsid w:val="00B27900"/>
    <w:rsid w:val="00B30231"/>
    <w:rsid w:val="00B30E14"/>
    <w:rsid w:val="00B31EFD"/>
    <w:rsid w:val="00B33801"/>
    <w:rsid w:val="00B33E55"/>
    <w:rsid w:val="00B34D14"/>
    <w:rsid w:val="00B35C54"/>
    <w:rsid w:val="00B37BEB"/>
    <w:rsid w:val="00B37E44"/>
    <w:rsid w:val="00B407EB"/>
    <w:rsid w:val="00B40E08"/>
    <w:rsid w:val="00B42340"/>
    <w:rsid w:val="00B424B6"/>
    <w:rsid w:val="00B50A64"/>
    <w:rsid w:val="00B51A2A"/>
    <w:rsid w:val="00B531F0"/>
    <w:rsid w:val="00B5638E"/>
    <w:rsid w:val="00B56F3C"/>
    <w:rsid w:val="00B57E9B"/>
    <w:rsid w:val="00B614F2"/>
    <w:rsid w:val="00B6690E"/>
    <w:rsid w:val="00B71F79"/>
    <w:rsid w:val="00B73A68"/>
    <w:rsid w:val="00B745E4"/>
    <w:rsid w:val="00B7473D"/>
    <w:rsid w:val="00B74B27"/>
    <w:rsid w:val="00B75A76"/>
    <w:rsid w:val="00B76A8F"/>
    <w:rsid w:val="00B804DB"/>
    <w:rsid w:val="00B825E3"/>
    <w:rsid w:val="00B83F58"/>
    <w:rsid w:val="00B84B97"/>
    <w:rsid w:val="00B84F86"/>
    <w:rsid w:val="00B86268"/>
    <w:rsid w:val="00B86645"/>
    <w:rsid w:val="00B87300"/>
    <w:rsid w:val="00B873E7"/>
    <w:rsid w:val="00B9002D"/>
    <w:rsid w:val="00B90F36"/>
    <w:rsid w:val="00B917F0"/>
    <w:rsid w:val="00B921AF"/>
    <w:rsid w:val="00B92F0D"/>
    <w:rsid w:val="00B93275"/>
    <w:rsid w:val="00B94024"/>
    <w:rsid w:val="00B95CAC"/>
    <w:rsid w:val="00B96F03"/>
    <w:rsid w:val="00B96F54"/>
    <w:rsid w:val="00B972E3"/>
    <w:rsid w:val="00B97B1B"/>
    <w:rsid w:val="00B97EFF"/>
    <w:rsid w:val="00BA1681"/>
    <w:rsid w:val="00BA19D2"/>
    <w:rsid w:val="00BA1E66"/>
    <w:rsid w:val="00BA20C2"/>
    <w:rsid w:val="00BA2803"/>
    <w:rsid w:val="00BA38A8"/>
    <w:rsid w:val="00BA5A97"/>
    <w:rsid w:val="00BB24B5"/>
    <w:rsid w:val="00BB4236"/>
    <w:rsid w:val="00BB4EAD"/>
    <w:rsid w:val="00BB4FAE"/>
    <w:rsid w:val="00BB500A"/>
    <w:rsid w:val="00BB57F1"/>
    <w:rsid w:val="00BB6863"/>
    <w:rsid w:val="00BB688C"/>
    <w:rsid w:val="00BB6BC4"/>
    <w:rsid w:val="00BB6EEE"/>
    <w:rsid w:val="00BB7329"/>
    <w:rsid w:val="00BB7CE5"/>
    <w:rsid w:val="00BC04A6"/>
    <w:rsid w:val="00BC1329"/>
    <w:rsid w:val="00BC30B2"/>
    <w:rsid w:val="00BC5087"/>
    <w:rsid w:val="00BC58F3"/>
    <w:rsid w:val="00BC5E27"/>
    <w:rsid w:val="00BD0E10"/>
    <w:rsid w:val="00BD1139"/>
    <w:rsid w:val="00BD16FD"/>
    <w:rsid w:val="00BD2B5F"/>
    <w:rsid w:val="00BD6182"/>
    <w:rsid w:val="00BD6DBD"/>
    <w:rsid w:val="00BD7556"/>
    <w:rsid w:val="00BD7E0E"/>
    <w:rsid w:val="00BE1BD6"/>
    <w:rsid w:val="00BE2C29"/>
    <w:rsid w:val="00BE4694"/>
    <w:rsid w:val="00BE56FE"/>
    <w:rsid w:val="00BE5EFE"/>
    <w:rsid w:val="00BE6AE5"/>
    <w:rsid w:val="00BE7747"/>
    <w:rsid w:val="00BE78DB"/>
    <w:rsid w:val="00BE7F31"/>
    <w:rsid w:val="00BF1159"/>
    <w:rsid w:val="00BF1903"/>
    <w:rsid w:val="00BF1AB1"/>
    <w:rsid w:val="00BF1F94"/>
    <w:rsid w:val="00BF21BB"/>
    <w:rsid w:val="00BF4053"/>
    <w:rsid w:val="00BF71F0"/>
    <w:rsid w:val="00BF777D"/>
    <w:rsid w:val="00BF7D4D"/>
    <w:rsid w:val="00C02A15"/>
    <w:rsid w:val="00C02E56"/>
    <w:rsid w:val="00C03031"/>
    <w:rsid w:val="00C034EA"/>
    <w:rsid w:val="00C03C55"/>
    <w:rsid w:val="00C06BB7"/>
    <w:rsid w:val="00C12001"/>
    <w:rsid w:val="00C13148"/>
    <w:rsid w:val="00C145FA"/>
    <w:rsid w:val="00C1497A"/>
    <w:rsid w:val="00C152EE"/>
    <w:rsid w:val="00C2104C"/>
    <w:rsid w:val="00C21690"/>
    <w:rsid w:val="00C21E7D"/>
    <w:rsid w:val="00C24B1A"/>
    <w:rsid w:val="00C27330"/>
    <w:rsid w:val="00C30339"/>
    <w:rsid w:val="00C318FF"/>
    <w:rsid w:val="00C328C1"/>
    <w:rsid w:val="00C35A51"/>
    <w:rsid w:val="00C36F25"/>
    <w:rsid w:val="00C37269"/>
    <w:rsid w:val="00C37FBC"/>
    <w:rsid w:val="00C41CA1"/>
    <w:rsid w:val="00C41D14"/>
    <w:rsid w:val="00C422CB"/>
    <w:rsid w:val="00C42DDA"/>
    <w:rsid w:val="00C43878"/>
    <w:rsid w:val="00C4598B"/>
    <w:rsid w:val="00C45DC8"/>
    <w:rsid w:val="00C4735A"/>
    <w:rsid w:val="00C473B6"/>
    <w:rsid w:val="00C4772D"/>
    <w:rsid w:val="00C47EF4"/>
    <w:rsid w:val="00C50B43"/>
    <w:rsid w:val="00C60513"/>
    <w:rsid w:val="00C62CD9"/>
    <w:rsid w:val="00C645DE"/>
    <w:rsid w:val="00C65E7A"/>
    <w:rsid w:val="00C66443"/>
    <w:rsid w:val="00C66ABE"/>
    <w:rsid w:val="00C672EB"/>
    <w:rsid w:val="00C67AAE"/>
    <w:rsid w:val="00C720F5"/>
    <w:rsid w:val="00C723E4"/>
    <w:rsid w:val="00C75C40"/>
    <w:rsid w:val="00C75C87"/>
    <w:rsid w:val="00C76161"/>
    <w:rsid w:val="00C7780F"/>
    <w:rsid w:val="00C81925"/>
    <w:rsid w:val="00C845B2"/>
    <w:rsid w:val="00C84D19"/>
    <w:rsid w:val="00C850BC"/>
    <w:rsid w:val="00C872A8"/>
    <w:rsid w:val="00C8757C"/>
    <w:rsid w:val="00C915FE"/>
    <w:rsid w:val="00C9228E"/>
    <w:rsid w:val="00C9495B"/>
    <w:rsid w:val="00CA0752"/>
    <w:rsid w:val="00CA1598"/>
    <w:rsid w:val="00CA2BC8"/>
    <w:rsid w:val="00CA4246"/>
    <w:rsid w:val="00CA4E77"/>
    <w:rsid w:val="00CA5F6C"/>
    <w:rsid w:val="00CA681C"/>
    <w:rsid w:val="00CB03F9"/>
    <w:rsid w:val="00CB648B"/>
    <w:rsid w:val="00CB70F7"/>
    <w:rsid w:val="00CC0549"/>
    <w:rsid w:val="00CC2F14"/>
    <w:rsid w:val="00CC36A4"/>
    <w:rsid w:val="00CC457D"/>
    <w:rsid w:val="00CC5E7C"/>
    <w:rsid w:val="00CC6A57"/>
    <w:rsid w:val="00CC7342"/>
    <w:rsid w:val="00CC7373"/>
    <w:rsid w:val="00CC762A"/>
    <w:rsid w:val="00CD0289"/>
    <w:rsid w:val="00CD029A"/>
    <w:rsid w:val="00CD04FC"/>
    <w:rsid w:val="00CD0E55"/>
    <w:rsid w:val="00CD25CC"/>
    <w:rsid w:val="00CD5CBA"/>
    <w:rsid w:val="00CE1173"/>
    <w:rsid w:val="00CE1389"/>
    <w:rsid w:val="00CE2814"/>
    <w:rsid w:val="00CE2FA5"/>
    <w:rsid w:val="00CE34E1"/>
    <w:rsid w:val="00CE4CF6"/>
    <w:rsid w:val="00CE6450"/>
    <w:rsid w:val="00CE74D4"/>
    <w:rsid w:val="00CF0351"/>
    <w:rsid w:val="00CF0619"/>
    <w:rsid w:val="00CF3255"/>
    <w:rsid w:val="00CF45BD"/>
    <w:rsid w:val="00CF5B77"/>
    <w:rsid w:val="00CF738B"/>
    <w:rsid w:val="00D004F3"/>
    <w:rsid w:val="00D01DB7"/>
    <w:rsid w:val="00D0421C"/>
    <w:rsid w:val="00D057FC"/>
    <w:rsid w:val="00D058EB"/>
    <w:rsid w:val="00D05D5E"/>
    <w:rsid w:val="00D06DD6"/>
    <w:rsid w:val="00D07691"/>
    <w:rsid w:val="00D07708"/>
    <w:rsid w:val="00D12164"/>
    <w:rsid w:val="00D131AB"/>
    <w:rsid w:val="00D13E07"/>
    <w:rsid w:val="00D147DA"/>
    <w:rsid w:val="00D1486B"/>
    <w:rsid w:val="00D16C6E"/>
    <w:rsid w:val="00D17E23"/>
    <w:rsid w:val="00D17E40"/>
    <w:rsid w:val="00D20CE8"/>
    <w:rsid w:val="00D21791"/>
    <w:rsid w:val="00D22394"/>
    <w:rsid w:val="00D224A6"/>
    <w:rsid w:val="00D2519A"/>
    <w:rsid w:val="00D27CC3"/>
    <w:rsid w:val="00D3042F"/>
    <w:rsid w:val="00D317CA"/>
    <w:rsid w:val="00D32860"/>
    <w:rsid w:val="00D32D21"/>
    <w:rsid w:val="00D3327B"/>
    <w:rsid w:val="00D33728"/>
    <w:rsid w:val="00D369C8"/>
    <w:rsid w:val="00D36FD3"/>
    <w:rsid w:val="00D37604"/>
    <w:rsid w:val="00D37E8B"/>
    <w:rsid w:val="00D419F9"/>
    <w:rsid w:val="00D443F7"/>
    <w:rsid w:val="00D45D87"/>
    <w:rsid w:val="00D51838"/>
    <w:rsid w:val="00D52D0B"/>
    <w:rsid w:val="00D52D15"/>
    <w:rsid w:val="00D530BC"/>
    <w:rsid w:val="00D533F2"/>
    <w:rsid w:val="00D541D3"/>
    <w:rsid w:val="00D56337"/>
    <w:rsid w:val="00D568E1"/>
    <w:rsid w:val="00D579A4"/>
    <w:rsid w:val="00D61000"/>
    <w:rsid w:val="00D6378C"/>
    <w:rsid w:val="00D6421E"/>
    <w:rsid w:val="00D65427"/>
    <w:rsid w:val="00D74CB6"/>
    <w:rsid w:val="00D76142"/>
    <w:rsid w:val="00D81245"/>
    <w:rsid w:val="00D81ED0"/>
    <w:rsid w:val="00D85764"/>
    <w:rsid w:val="00D916E2"/>
    <w:rsid w:val="00D91B6C"/>
    <w:rsid w:val="00D92483"/>
    <w:rsid w:val="00D93006"/>
    <w:rsid w:val="00D948ED"/>
    <w:rsid w:val="00D97469"/>
    <w:rsid w:val="00DA0111"/>
    <w:rsid w:val="00DA0B4A"/>
    <w:rsid w:val="00DA16E9"/>
    <w:rsid w:val="00DA2080"/>
    <w:rsid w:val="00DA29E4"/>
    <w:rsid w:val="00DA2C84"/>
    <w:rsid w:val="00DA2C91"/>
    <w:rsid w:val="00DA41A3"/>
    <w:rsid w:val="00DA4DB4"/>
    <w:rsid w:val="00DA5BA8"/>
    <w:rsid w:val="00DA7707"/>
    <w:rsid w:val="00DA7F20"/>
    <w:rsid w:val="00DB008F"/>
    <w:rsid w:val="00DB0313"/>
    <w:rsid w:val="00DB2071"/>
    <w:rsid w:val="00DB4B89"/>
    <w:rsid w:val="00DB6CD3"/>
    <w:rsid w:val="00DC060F"/>
    <w:rsid w:val="00DC111C"/>
    <w:rsid w:val="00DC1A2A"/>
    <w:rsid w:val="00DC268A"/>
    <w:rsid w:val="00DC2A26"/>
    <w:rsid w:val="00DC2C0B"/>
    <w:rsid w:val="00DC4C76"/>
    <w:rsid w:val="00DC53B2"/>
    <w:rsid w:val="00DC56FB"/>
    <w:rsid w:val="00DC593C"/>
    <w:rsid w:val="00DC5F92"/>
    <w:rsid w:val="00DC755D"/>
    <w:rsid w:val="00DC75C0"/>
    <w:rsid w:val="00DD132A"/>
    <w:rsid w:val="00DD1AE4"/>
    <w:rsid w:val="00DD37DF"/>
    <w:rsid w:val="00DD5B2C"/>
    <w:rsid w:val="00DD5BD5"/>
    <w:rsid w:val="00DD5F69"/>
    <w:rsid w:val="00DD6710"/>
    <w:rsid w:val="00DD76EF"/>
    <w:rsid w:val="00DD7A22"/>
    <w:rsid w:val="00DE04B2"/>
    <w:rsid w:val="00DE0A07"/>
    <w:rsid w:val="00DE1183"/>
    <w:rsid w:val="00DE11A3"/>
    <w:rsid w:val="00DE12E6"/>
    <w:rsid w:val="00DE1F3D"/>
    <w:rsid w:val="00DE26B1"/>
    <w:rsid w:val="00DE33FA"/>
    <w:rsid w:val="00DE40A9"/>
    <w:rsid w:val="00DF0C5E"/>
    <w:rsid w:val="00DF306C"/>
    <w:rsid w:val="00DF31DD"/>
    <w:rsid w:val="00DF3DB4"/>
    <w:rsid w:val="00DF4722"/>
    <w:rsid w:val="00DF4FB5"/>
    <w:rsid w:val="00DF528E"/>
    <w:rsid w:val="00DF55EF"/>
    <w:rsid w:val="00DF66D2"/>
    <w:rsid w:val="00E00444"/>
    <w:rsid w:val="00E00962"/>
    <w:rsid w:val="00E01471"/>
    <w:rsid w:val="00E01A01"/>
    <w:rsid w:val="00E02900"/>
    <w:rsid w:val="00E06E38"/>
    <w:rsid w:val="00E1026B"/>
    <w:rsid w:val="00E106AF"/>
    <w:rsid w:val="00E10BC1"/>
    <w:rsid w:val="00E110AA"/>
    <w:rsid w:val="00E15675"/>
    <w:rsid w:val="00E16D6F"/>
    <w:rsid w:val="00E21844"/>
    <w:rsid w:val="00E21932"/>
    <w:rsid w:val="00E228DF"/>
    <w:rsid w:val="00E23D85"/>
    <w:rsid w:val="00E24C24"/>
    <w:rsid w:val="00E26128"/>
    <w:rsid w:val="00E26CFF"/>
    <w:rsid w:val="00E304F7"/>
    <w:rsid w:val="00E30E30"/>
    <w:rsid w:val="00E32365"/>
    <w:rsid w:val="00E32D09"/>
    <w:rsid w:val="00E34012"/>
    <w:rsid w:val="00E35361"/>
    <w:rsid w:val="00E362BA"/>
    <w:rsid w:val="00E36565"/>
    <w:rsid w:val="00E36F10"/>
    <w:rsid w:val="00E40A3A"/>
    <w:rsid w:val="00E415B8"/>
    <w:rsid w:val="00E424E0"/>
    <w:rsid w:val="00E42ED0"/>
    <w:rsid w:val="00E456F4"/>
    <w:rsid w:val="00E47C51"/>
    <w:rsid w:val="00E5102B"/>
    <w:rsid w:val="00E51CD2"/>
    <w:rsid w:val="00E51D2F"/>
    <w:rsid w:val="00E53515"/>
    <w:rsid w:val="00E54123"/>
    <w:rsid w:val="00E54DB8"/>
    <w:rsid w:val="00E55827"/>
    <w:rsid w:val="00E60C8C"/>
    <w:rsid w:val="00E62635"/>
    <w:rsid w:val="00E64068"/>
    <w:rsid w:val="00E65256"/>
    <w:rsid w:val="00E65E3A"/>
    <w:rsid w:val="00E66E10"/>
    <w:rsid w:val="00E671E0"/>
    <w:rsid w:val="00E705B8"/>
    <w:rsid w:val="00E7234F"/>
    <w:rsid w:val="00E739CF"/>
    <w:rsid w:val="00E768D1"/>
    <w:rsid w:val="00E7770D"/>
    <w:rsid w:val="00E80F42"/>
    <w:rsid w:val="00E814C9"/>
    <w:rsid w:val="00E84863"/>
    <w:rsid w:val="00E85F57"/>
    <w:rsid w:val="00E86712"/>
    <w:rsid w:val="00E8687E"/>
    <w:rsid w:val="00E9046C"/>
    <w:rsid w:val="00E93BDD"/>
    <w:rsid w:val="00E940BB"/>
    <w:rsid w:val="00E96A8A"/>
    <w:rsid w:val="00E96EF3"/>
    <w:rsid w:val="00EA030A"/>
    <w:rsid w:val="00EA09DC"/>
    <w:rsid w:val="00EA0A7E"/>
    <w:rsid w:val="00EA2796"/>
    <w:rsid w:val="00EA65CA"/>
    <w:rsid w:val="00EA6B3F"/>
    <w:rsid w:val="00EA6CA0"/>
    <w:rsid w:val="00EA6D70"/>
    <w:rsid w:val="00EB0892"/>
    <w:rsid w:val="00EB1B68"/>
    <w:rsid w:val="00EB20CD"/>
    <w:rsid w:val="00EB2667"/>
    <w:rsid w:val="00EB3A24"/>
    <w:rsid w:val="00EB6AE0"/>
    <w:rsid w:val="00EB6B4C"/>
    <w:rsid w:val="00EB74F2"/>
    <w:rsid w:val="00EB7D66"/>
    <w:rsid w:val="00EC3153"/>
    <w:rsid w:val="00EC49E1"/>
    <w:rsid w:val="00EC54F7"/>
    <w:rsid w:val="00EC642A"/>
    <w:rsid w:val="00ED0274"/>
    <w:rsid w:val="00ED09DD"/>
    <w:rsid w:val="00ED37BF"/>
    <w:rsid w:val="00ED7410"/>
    <w:rsid w:val="00ED7FE5"/>
    <w:rsid w:val="00EE1957"/>
    <w:rsid w:val="00EE4938"/>
    <w:rsid w:val="00EE49DF"/>
    <w:rsid w:val="00EE4FBA"/>
    <w:rsid w:val="00EE5363"/>
    <w:rsid w:val="00EE681E"/>
    <w:rsid w:val="00EE7201"/>
    <w:rsid w:val="00EE7F7F"/>
    <w:rsid w:val="00EF14AD"/>
    <w:rsid w:val="00EF1D94"/>
    <w:rsid w:val="00EF2372"/>
    <w:rsid w:val="00EF26D4"/>
    <w:rsid w:val="00EF2F44"/>
    <w:rsid w:val="00EF51F5"/>
    <w:rsid w:val="00EF6719"/>
    <w:rsid w:val="00EF6BDE"/>
    <w:rsid w:val="00F0029D"/>
    <w:rsid w:val="00F00697"/>
    <w:rsid w:val="00F0105A"/>
    <w:rsid w:val="00F019FA"/>
    <w:rsid w:val="00F02100"/>
    <w:rsid w:val="00F0330D"/>
    <w:rsid w:val="00F033AE"/>
    <w:rsid w:val="00F03569"/>
    <w:rsid w:val="00F04286"/>
    <w:rsid w:val="00F05B27"/>
    <w:rsid w:val="00F067D9"/>
    <w:rsid w:val="00F06CC9"/>
    <w:rsid w:val="00F074D1"/>
    <w:rsid w:val="00F07C9F"/>
    <w:rsid w:val="00F102EE"/>
    <w:rsid w:val="00F10728"/>
    <w:rsid w:val="00F114C4"/>
    <w:rsid w:val="00F130F2"/>
    <w:rsid w:val="00F13F1A"/>
    <w:rsid w:val="00F15001"/>
    <w:rsid w:val="00F160A9"/>
    <w:rsid w:val="00F23F32"/>
    <w:rsid w:val="00F247C8"/>
    <w:rsid w:val="00F24A51"/>
    <w:rsid w:val="00F24CFD"/>
    <w:rsid w:val="00F2555B"/>
    <w:rsid w:val="00F26934"/>
    <w:rsid w:val="00F26DDB"/>
    <w:rsid w:val="00F27C4F"/>
    <w:rsid w:val="00F3047B"/>
    <w:rsid w:val="00F3198C"/>
    <w:rsid w:val="00F3298B"/>
    <w:rsid w:val="00F34251"/>
    <w:rsid w:val="00F34F68"/>
    <w:rsid w:val="00F368C2"/>
    <w:rsid w:val="00F3708B"/>
    <w:rsid w:val="00F419CB"/>
    <w:rsid w:val="00F42497"/>
    <w:rsid w:val="00F430DE"/>
    <w:rsid w:val="00F43D2D"/>
    <w:rsid w:val="00F44076"/>
    <w:rsid w:val="00F4637B"/>
    <w:rsid w:val="00F46A24"/>
    <w:rsid w:val="00F46DD1"/>
    <w:rsid w:val="00F4707E"/>
    <w:rsid w:val="00F5021F"/>
    <w:rsid w:val="00F51955"/>
    <w:rsid w:val="00F53D29"/>
    <w:rsid w:val="00F53DF6"/>
    <w:rsid w:val="00F54F7F"/>
    <w:rsid w:val="00F552AA"/>
    <w:rsid w:val="00F56B64"/>
    <w:rsid w:val="00F65732"/>
    <w:rsid w:val="00F66BFA"/>
    <w:rsid w:val="00F73C33"/>
    <w:rsid w:val="00F75D2A"/>
    <w:rsid w:val="00F7603C"/>
    <w:rsid w:val="00F76655"/>
    <w:rsid w:val="00F812D6"/>
    <w:rsid w:val="00F86875"/>
    <w:rsid w:val="00F871E1"/>
    <w:rsid w:val="00F8764B"/>
    <w:rsid w:val="00F87A22"/>
    <w:rsid w:val="00F90094"/>
    <w:rsid w:val="00F91BDB"/>
    <w:rsid w:val="00F92CAF"/>
    <w:rsid w:val="00F9300C"/>
    <w:rsid w:val="00F93406"/>
    <w:rsid w:val="00F93A35"/>
    <w:rsid w:val="00F94E0A"/>
    <w:rsid w:val="00F94F9C"/>
    <w:rsid w:val="00F96069"/>
    <w:rsid w:val="00F97A10"/>
    <w:rsid w:val="00FA04BF"/>
    <w:rsid w:val="00FA477F"/>
    <w:rsid w:val="00FB0078"/>
    <w:rsid w:val="00FB1852"/>
    <w:rsid w:val="00FB216D"/>
    <w:rsid w:val="00FB270B"/>
    <w:rsid w:val="00FB402B"/>
    <w:rsid w:val="00FB6027"/>
    <w:rsid w:val="00FB6AA1"/>
    <w:rsid w:val="00FC0912"/>
    <w:rsid w:val="00FC3245"/>
    <w:rsid w:val="00FC3D6F"/>
    <w:rsid w:val="00FD2DAD"/>
    <w:rsid w:val="00FD7672"/>
    <w:rsid w:val="00FD7DE5"/>
    <w:rsid w:val="00FE0518"/>
    <w:rsid w:val="00FE0601"/>
    <w:rsid w:val="00FE0B32"/>
    <w:rsid w:val="00FE38A1"/>
    <w:rsid w:val="00FE40EC"/>
    <w:rsid w:val="00FE472C"/>
    <w:rsid w:val="00FE6758"/>
    <w:rsid w:val="00FE764B"/>
    <w:rsid w:val="00FF38EA"/>
    <w:rsid w:val="00FF7196"/>
    <w:rsid w:val="00FF7F6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516873F"/>
  <w14:defaultImageDpi w14:val="330"/>
  <w15:chartTrackingRefBased/>
  <w15:docId w15:val="{91F74932-E1F8-4516-BE61-E300E35BC9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9" w:uiPriority="39"/>
    <w:lsdException w:name="annotation text" w:uiPriority="99"/>
    <w:lsdException w:name="footer" w:uiPriority="99"/>
    <w:lsdException w:name="caption" w:qFormat="1"/>
    <w:lsdException w:name="table of figures" w:uiPriority="99"/>
    <w:lsdException w:name="footnote reference" w:uiPriority="99"/>
    <w:lsdException w:name="annotation reference" w:uiPriority="99"/>
    <w:lsdException w:name="Subtitle" w:qFormat="1"/>
    <w:lsdException w:name="Hyperlink" w:uiPriority="99"/>
    <w:lsdException w:name="Strong" w:qFormat="1"/>
    <w:lsdException w:name="Emphasis" w:qFormat="1"/>
    <w:lsdException w:name="Plain Text" w:uiPriority="99"/>
    <w:lsdException w:name="Normal (Web)" w:uiPriority="99"/>
    <w:lsdException w:name="HTML Keyboard" w:semiHidden="1" w:unhideWhenUsed="1"/>
    <w:lsdException w:name="HTML Typewriter"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E11D2"/>
    <w:pPr>
      <w:spacing w:line="480" w:lineRule="auto"/>
      <w:ind w:firstLine="720"/>
      <w:jc w:val="both"/>
    </w:pPr>
    <w:rPr>
      <w:sz w:val="24"/>
      <w:szCs w:val="24"/>
    </w:rPr>
  </w:style>
  <w:style w:type="paragraph" w:styleId="Heading1">
    <w:name w:val="heading 1"/>
    <w:basedOn w:val="Normal"/>
    <w:next w:val="Normal"/>
    <w:qFormat/>
    <w:rsid w:val="00B51A2A"/>
    <w:pPr>
      <w:keepNext/>
      <w:pageBreakBefore/>
      <w:numPr>
        <w:numId w:val="41"/>
      </w:numPr>
      <w:spacing w:after="960"/>
      <w:jc w:val="center"/>
      <w:outlineLvl w:val="0"/>
    </w:pPr>
    <w:rPr>
      <w:rFonts w:cs="Arial"/>
      <w:b/>
      <w:bCs/>
    </w:rPr>
  </w:style>
  <w:style w:type="paragraph" w:styleId="Heading2">
    <w:name w:val="heading 2"/>
    <w:basedOn w:val="Heading1"/>
    <w:next w:val="Normal"/>
    <w:qFormat/>
    <w:rsid w:val="00B51A2A"/>
    <w:pPr>
      <w:pageBreakBefore w:val="0"/>
      <w:numPr>
        <w:ilvl w:val="1"/>
      </w:numPr>
      <w:spacing w:before="960" w:after="480"/>
      <w:contextualSpacing/>
      <w:outlineLvl w:val="1"/>
    </w:pPr>
    <w:rPr>
      <w:bCs w:val="0"/>
      <w:iCs/>
    </w:rPr>
  </w:style>
  <w:style w:type="paragraph" w:styleId="Heading3">
    <w:name w:val="heading 3"/>
    <w:basedOn w:val="Heading2"/>
    <w:next w:val="Normal"/>
    <w:qFormat/>
    <w:rsid w:val="00B51A2A"/>
    <w:pPr>
      <w:numPr>
        <w:ilvl w:val="2"/>
      </w:numPr>
      <w:spacing w:before="480"/>
      <w:jc w:val="left"/>
      <w:outlineLvl w:val="2"/>
    </w:pPr>
    <w:rPr>
      <w:bCs/>
    </w:rPr>
  </w:style>
  <w:style w:type="paragraph" w:styleId="Heading4">
    <w:name w:val="heading 4"/>
    <w:basedOn w:val="Heading3"/>
    <w:next w:val="Normal"/>
    <w:qFormat/>
    <w:rsid w:val="00B51A2A"/>
    <w:pPr>
      <w:numPr>
        <w:ilvl w:val="3"/>
      </w:numPr>
      <w:spacing w:after="0"/>
      <w:contextualSpacing w:val="0"/>
      <w:outlineLvl w:val="3"/>
    </w:pPr>
    <w:rPr>
      <w:bCs w:val="0"/>
    </w:rPr>
  </w:style>
  <w:style w:type="paragraph" w:styleId="Heading5">
    <w:name w:val="heading 5"/>
    <w:basedOn w:val="Heading4"/>
    <w:next w:val="Normal"/>
    <w:link w:val="Heading5Char"/>
    <w:qFormat/>
    <w:rsid w:val="00B51A2A"/>
    <w:pPr>
      <w:pageBreakBefore/>
      <w:numPr>
        <w:ilvl w:val="4"/>
      </w:numPr>
      <w:outlineLvl w:val="4"/>
    </w:pPr>
    <w:rPr>
      <w:bCs/>
      <w:iCs w:val="0"/>
      <w:szCs w:val="26"/>
    </w:rPr>
  </w:style>
  <w:style w:type="paragraph" w:styleId="Heading6">
    <w:name w:val="heading 6"/>
    <w:basedOn w:val="Heading5"/>
    <w:next w:val="Normal"/>
    <w:link w:val="Heading6Char"/>
    <w:unhideWhenUsed/>
    <w:qFormat/>
    <w:rsid w:val="00B51A2A"/>
    <w:pPr>
      <w:numPr>
        <w:ilvl w:val="5"/>
      </w:numPr>
      <w:spacing w:before="960" w:after="480"/>
      <w:jc w:val="center"/>
      <w:outlineLvl w:val="5"/>
    </w:pPr>
    <w:rPr>
      <w:b w:val="0"/>
      <w:bCs w:val="0"/>
      <w:szCs w:val="22"/>
    </w:rPr>
  </w:style>
  <w:style w:type="paragraph" w:styleId="Heading7">
    <w:name w:val="heading 7"/>
    <w:basedOn w:val="Normal"/>
    <w:next w:val="Normal"/>
    <w:link w:val="Heading7Char"/>
    <w:unhideWhenUsed/>
    <w:qFormat/>
    <w:rsid w:val="00B51A2A"/>
    <w:pPr>
      <w:keepNext/>
      <w:numPr>
        <w:ilvl w:val="6"/>
        <w:numId w:val="41"/>
      </w:numPr>
      <w:spacing w:before="480" w:after="480"/>
      <w:jc w:val="left"/>
      <w:outlineLvl w:val="6"/>
    </w:pPr>
    <w:rPr>
      <w:rFonts w:ascii="Times New Roman Bold" w:hAnsi="Times New Roman Bold"/>
      <w:b/>
    </w:rPr>
  </w:style>
  <w:style w:type="paragraph" w:styleId="Heading8">
    <w:name w:val="heading 8"/>
    <w:basedOn w:val="Normal"/>
    <w:next w:val="Normal"/>
    <w:link w:val="Heading8Char"/>
    <w:semiHidden/>
    <w:unhideWhenUsed/>
    <w:qFormat/>
    <w:rsid w:val="00B51A2A"/>
    <w:pPr>
      <w:numPr>
        <w:ilvl w:val="7"/>
        <w:numId w:val="41"/>
      </w:numPr>
      <w:spacing w:before="240" w:after="60"/>
      <w:outlineLvl w:val="7"/>
    </w:pPr>
    <w:rPr>
      <w:rFonts w:ascii="Calibri" w:hAnsi="Calibri"/>
      <w:i/>
      <w:iCs/>
    </w:rPr>
  </w:style>
  <w:style w:type="paragraph" w:styleId="Heading9">
    <w:name w:val="heading 9"/>
    <w:basedOn w:val="Normal"/>
    <w:next w:val="Normal"/>
    <w:link w:val="Heading9Char"/>
    <w:semiHidden/>
    <w:unhideWhenUsed/>
    <w:qFormat/>
    <w:rsid w:val="00B51A2A"/>
    <w:pPr>
      <w:numPr>
        <w:ilvl w:val="8"/>
        <w:numId w:val="41"/>
      </w:numPr>
      <w:spacing w:before="240" w:after="60"/>
      <w:outlineLvl w:val="8"/>
    </w:pPr>
    <w:rPr>
      <w:rFonts w:ascii="Calibri Light" w:hAnsi="Calibri Light"/>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rsid w:val="009633E3"/>
    <w:pPr>
      <w:tabs>
        <w:tab w:val="right" w:leader="dot" w:pos="9350"/>
      </w:tabs>
      <w:ind w:left="288" w:right="720" w:hanging="288"/>
    </w:pPr>
    <w:rPr>
      <w:b/>
    </w:rPr>
  </w:style>
  <w:style w:type="paragraph" w:customStyle="1" w:styleId="BibliographyEntry">
    <w:name w:val="Bibliography Entry"/>
    <w:basedOn w:val="Normal"/>
    <w:rsid w:val="00DA5BA8"/>
    <w:pPr>
      <w:spacing w:after="240" w:line="240" w:lineRule="auto"/>
      <w:ind w:left="720" w:hanging="720"/>
    </w:pPr>
  </w:style>
  <w:style w:type="character" w:styleId="Hyperlink">
    <w:name w:val="Hyperlink"/>
    <w:uiPriority w:val="99"/>
    <w:rsid w:val="00367476"/>
    <w:rPr>
      <w:color w:val="0000FF"/>
      <w:u w:val="single"/>
    </w:rPr>
  </w:style>
  <w:style w:type="paragraph" w:customStyle="1" w:styleId="Heading">
    <w:name w:val="Heading"/>
    <w:basedOn w:val="Preliminary"/>
    <w:next w:val="Normal"/>
    <w:rsid w:val="00130B6B"/>
  </w:style>
  <w:style w:type="paragraph" w:styleId="Header">
    <w:name w:val="header"/>
    <w:basedOn w:val="Normal"/>
    <w:semiHidden/>
    <w:rsid w:val="00367476"/>
    <w:pPr>
      <w:tabs>
        <w:tab w:val="center" w:pos="4320"/>
        <w:tab w:val="right" w:pos="8640"/>
      </w:tabs>
    </w:pPr>
  </w:style>
  <w:style w:type="paragraph" w:styleId="TOC2">
    <w:name w:val="toc 2"/>
    <w:basedOn w:val="Normal"/>
    <w:next w:val="Normal"/>
    <w:autoRedefine/>
    <w:uiPriority w:val="39"/>
    <w:rsid w:val="00E62635"/>
    <w:pPr>
      <w:tabs>
        <w:tab w:val="right" w:leader="dot" w:pos="9350"/>
      </w:tabs>
      <w:ind w:left="504" w:firstLine="0"/>
    </w:pPr>
    <w:rPr>
      <w:b/>
    </w:rPr>
  </w:style>
  <w:style w:type="paragraph" w:styleId="TOC3">
    <w:name w:val="toc 3"/>
    <w:basedOn w:val="Normal"/>
    <w:next w:val="Normal"/>
    <w:autoRedefine/>
    <w:uiPriority w:val="39"/>
    <w:rsid w:val="00E768D1"/>
    <w:pPr>
      <w:tabs>
        <w:tab w:val="right" w:leader="dot" w:pos="9360"/>
      </w:tabs>
      <w:ind w:left="1008" w:firstLine="0"/>
    </w:pPr>
    <w:rPr>
      <w:b/>
    </w:rPr>
  </w:style>
  <w:style w:type="paragraph" w:styleId="Footer">
    <w:name w:val="footer"/>
    <w:basedOn w:val="Normal"/>
    <w:link w:val="FooterChar"/>
    <w:uiPriority w:val="99"/>
    <w:rsid w:val="00367476"/>
    <w:pPr>
      <w:tabs>
        <w:tab w:val="center" w:pos="4320"/>
        <w:tab w:val="right" w:pos="8640"/>
      </w:tabs>
    </w:pPr>
  </w:style>
  <w:style w:type="paragraph" w:styleId="Caption">
    <w:name w:val="caption"/>
    <w:basedOn w:val="NoIndent"/>
    <w:next w:val="Normal"/>
    <w:qFormat/>
    <w:rsid w:val="00B51A2A"/>
    <w:pPr>
      <w:outlineLvl w:val="8"/>
    </w:pPr>
    <w:rPr>
      <w:b/>
      <w:bCs/>
      <w:sz w:val="20"/>
      <w:szCs w:val="20"/>
    </w:rPr>
  </w:style>
  <w:style w:type="paragraph" w:styleId="TOC4">
    <w:name w:val="toc 4"/>
    <w:basedOn w:val="Normal"/>
    <w:next w:val="Normal"/>
    <w:autoRedefine/>
    <w:uiPriority w:val="39"/>
    <w:rsid w:val="00DA5BA8"/>
    <w:pPr>
      <w:ind w:left="1512" w:firstLine="0"/>
    </w:pPr>
    <w:rPr>
      <w:b/>
    </w:rPr>
  </w:style>
  <w:style w:type="paragraph" w:customStyle="1" w:styleId="Preliminary">
    <w:name w:val="Preliminary"/>
    <w:basedOn w:val="Heading1"/>
    <w:next w:val="Normal"/>
    <w:rsid w:val="00D81ED0"/>
    <w:pPr>
      <w:numPr>
        <w:numId w:val="0"/>
      </w:numPr>
    </w:pPr>
  </w:style>
  <w:style w:type="table" w:styleId="TableGrid">
    <w:name w:val="Table Grid"/>
    <w:basedOn w:val="TableNormal"/>
    <w:rsid w:val="002706BA"/>
    <w:pPr>
      <w:spacing w:line="360" w:lineRule="auto"/>
      <w:ind w:firstLine="7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rsid w:val="00E304F7"/>
    <w:pPr>
      <w:ind w:left="720" w:hanging="720"/>
    </w:pPr>
    <w:rPr>
      <w:b/>
    </w:rPr>
  </w:style>
  <w:style w:type="paragraph" w:styleId="BalloonText">
    <w:name w:val="Balloon Text"/>
    <w:basedOn w:val="Normal"/>
    <w:link w:val="BalloonTextChar"/>
    <w:rsid w:val="00D97469"/>
    <w:pPr>
      <w:spacing w:line="240" w:lineRule="auto"/>
    </w:pPr>
    <w:rPr>
      <w:rFonts w:ascii="Segoe UI" w:hAnsi="Segoe UI" w:cs="Segoe UI"/>
      <w:sz w:val="18"/>
      <w:szCs w:val="18"/>
    </w:rPr>
  </w:style>
  <w:style w:type="character" w:customStyle="1" w:styleId="BalloonTextChar">
    <w:name w:val="Balloon Text Char"/>
    <w:link w:val="BalloonText"/>
    <w:rsid w:val="00D97469"/>
    <w:rPr>
      <w:rFonts w:ascii="Segoe UI" w:hAnsi="Segoe UI" w:cs="Segoe UI"/>
      <w:sz w:val="18"/>
      <w:szCs w:val="18"/>
    </w:rPr>
  </w:style>
  <w:style w:type="paragraph" w:styleId="Bibliography">
    <w:name w:val="Bibliography"/>
    <w:basedOn w:val="Normal"/>
    <w:next w:val="Normal"/>
    <w:uiPriority w:val="37"/>
    <w:unhideWhenUsed/>
    <w:rsid w:val="00D97469"/>
    <w:pPr>
      <w:tabs>
        <w:tab w:val="left" w:pos="624"/>
      </w:tabs>
      <w:spacing w:after="240" w:line="240" w:lineRule="auto"/>
      <w:ind w:left="624" w:hanging="624"/>
    </w:pPr>
  </w:style>
  <w:style w:type="paragraph" w:styleId="BlockText">
    <w:name w:val="Block Text"/>
    <w:basedOn w:val="Normal"/>
    <w:rsid w:val="00D97469"/>
    <w:pPr>
      <w:spacing w:after="120"/>
      <w:ind w:left="1440" w:right="1440"/>
    </w:pPr>
  </w:style>
  <w:style w:type="paragraph" w:styleId="BodyText">
    <w:name w:val="Body Text"/>
    <w:basedOn w:val="Normal"/>
    <w:link w:val="BodyTextChar"/>
    <w:rsid w:val="00D97469"/>
    <w:pPr>
      <w:spacing w:after="120"/>
    </w:pPr>
  </w:style>
  <w:style w:type="character" w:customStyle="1" w:styleId="BodyTextChar">
    <w:name w:val="Body Text Char"/>
    <w:link w:val="BodyText"/>
    <w:rsid w:val="00D97469"/>
    <w:rPr>
      <w:sz w:val="24"/>
      <w:szCs w:val="24"/>
    </w:rPr>
  </w:style>
  <w:style w:type="paragraph" w:styleId="BodyText2">
    <w:name w:val="Body Text 2"/>
    <w:basedOn w:val="Normal"/>
    <w:link w:val="BodyText2Char"/>
    <w:rsid w:val="00D97469"/>
    <w:pPr>
      <w:spacing w:after="120"/>
    </w:pPr>
  </w:style>
  <w:style w:type="character" w:customStyle="1" w:styleId="BodyText2Char">
    <w:name w:val="Body Text 2 Char"/>
    <w:link w:val="BodyText2"/>
    <w:rsid w:val="00D97469"/>
    <w:rPr>
      <w:sz w:val="24"/>
      <w:szCs w:val="24"/>
    </w:rPr>
  </w:style>
  <w:style w:type="paragraph" w:styleId="BodyText3">
    <w:name w:val="Body Text 3"/>
    <w:basedOn w:val="Normal"/>
    <w:link w:val="BodyText3Char"/>
    <w:rsid w:val="00D97469"/>
    <w:pPr>
      <w:spacing w:after="120"/>
    </w:pPr>
    <w:rPr>
      <w:sz w:val="16"/>
      <w:szCs w:val="16"/>
    </w:rPr>
  </w:style>
  <w:style w:type="character" w:customStyle="1" w:styleId="BodyText3Char">
    <w:name w:val="Body Text 3 Char"/>
    <w:link w:val="BodyText3"/>
    <w:rsid w:val="00D97469"/>
    <w:rPr>
      <w:sz w:val="16"/>
      <w:szCs w:val="16"/>
    </w:rPr>
  </w:style>
  <w:style w:type="paragraph" w:styleId="BodyTextFirstIndent">
    <w:name w:val="Body Text First Indent"/>
    <w:basedOn w:val="BodyText"/>
    <w:link w:val="BodyTextFirstIndentChar"/>
    <w:rsid w:val="00D97469"/>
    <w:pPr>
      <w:ind w:firstLine="210"/>
    </w:pPr>
  </w:style>
  <w:style w:type="character" w:customStyle="1" w:styleId="BodyTextFirstIndentChar">
    <w:name w:val="Body Text First Indent Char"/>
    <w:basedOn w:val="BodyTextChar"/>
    <w:link w:val="BodyTextFirstIndent"/>
    <w:rsid w:val="00D97469"/>
    <w:rPr>
      <w:sz w:val="24"/>
      <w:szCs w:val="24"/>
    </w:rPr>
  </w:style>
  <w:style w:type="paragraph" w:styleId="BodyTextIndent">
    <w:name w:val="Body Text Indent"/>
    <w:basedOn w:val="Normal"/>
    <w:link w:val="BodyTextIndentChar"/>
    <w:rsid w:val="00D97469"/>
    <w:pPr>
      <w:spacing w:after="120"/>
      <w:ind w:left="360"/>
    </w:pPr>
  </w:style>
  <w:style w:type="character" w:customStyle="1" w:styleId="BodyTextIndentChar">
    <w:name w:val="Body Text Indent Char"/>
    <w:link w:val="BodyTextIndent"/>
    <w:rsid w:val="00D97469"/>
    <w:rPr>
      <w:sz w:val="24"/>
      <w:szCs w:val="24"/>
    </w:rPr>
  </w:style>
  <w:style w:type="paragraph" w:styleId="BodyTextFirstIndent2">
    <w:name w:val="Body Text First Indent 2"/>
    <w:basedOn w:val="BodyTextIndent"/>
    <w:link w:val="BodyTextFirstIndent2Char"/>
    <w:rsid w:val="00D97469"/>
    <w:pPr>
      <w:ind w:firstLine="210"/>
    </w:pPr>
  </w:style>
  <w:style w:type="character" w:customStyle="1" w:styleId="BodyTextFirstIndent2Char">
    <w:name w:val="Body Text First Indent 2 Char"/>
    <w:basedOn w:val="BodyTextIndentChar"/>
    <w:link w:val="BodyTextFirstIndent2"/>
    <w:rsid w:val="00D97469"/>
    <w:rPr>
      <w:sz w:val="24"/>
      <w:szCs w:val="24"/>
    </w:rPr>
  </w:style>
  <w:style w:type="paragraph" w:styleId="BodyTextIndent2">
    <w:name w:val="Body Text Indent 2"/>
    <w:basedOn w:val="Normal"/>
    <w:link w:val="BodyTextIndent2Char"/>
    <w:rsid w:val="00D97469"/>
    <w:pPr>
      <w:spacing w:after="120"/>
      <w:ind w:left="360"/>
    </w:pPr>
  </w:style>
  <w:style w:type="character" w:customStyle="1" w:styleId="BodyTextIndent2Char">
    <w:name w:val="Body Text Indent 2 Char"/>
    <w:link w:val="BodyTextIndent2"/>
    <w:rsid w:val="00D97469"/>
    <w:rPr>
      <w:sz w:val="24"/>
      <w:szCs w:val="24"/>
    </w:rPr>
  </w:style>
  <w:style w:type="paragraph" w:styleId="BodyTextIndent3">
    <w:name w:val="Body Text Indent 3"/>
    <w:basedOn w:val="Normal"/>
    <w:link w:val="BodyTextIndent3Char"/>
    <w:rsid w:val="00D97469"/>
    <w:pPr>
      <w:spacing w:after="120"/>
      <w:ind w:left="360"/>
    </w:pPr>
    <w:rPr>
      <w:sz w:val="16"/>
      <w:szCs w:val="16"/>
    </w:rPr>
  </w:style>
  <w:style w:type="character" w:customStyle="1" w:styleId="BodyTextIndent3Char">
    <w:name w:val="Body Text Indent 3 Char"/>
    <w:link w:val="BodyTextIndent3"/>
    <w:rsid w:val="00D97469"/>
    <w:rPr>
      <w:sz w:val="16"/>
      <w:szCs w:val="16"/>
    </w:rPr>
  </w:style>
  <w:style w:type="paragraph" w:styleId="Closing">
    <w:name w:val="Closing"/>
    <w:basedOn w:val="Normal"/>
    <w:link w:val="ClosingChar"/>
    <w:rsid w:val="00D97469"/>
    <w:pPr>
      <w:ind w:left="4320"/>
    </w:pPr>
  </w:style>
  <w:style w:type="character" w:customStyle="1" w:styleId="ClosingChar">
    <w:name w:val="Closing Char"/>
    <w:link w:val="Closing"/>
    <w:rsid w:val="00D97469"/>
    <w:rPr>
      <w:sz w:val="24"/>
      <w:szCs w:val="24"/>
    </w:rPr>
  </w:style>
  <w:style w:type="paragraph" w:styleId="CommentText">
    <w:name w:val="annotation text"/>
    <w:basedOn w:val="Normal"/>
    <w:link w:val="CommentTextChar"/>
    <w:uiPriority w:val="99"/>
    <w:rsid w:val="00D97469"/>
    <w:rPr>
      <w:sz w:val="20"/>
      <w:szCs w:val="20"/>
    </w:rPr>
  </w:style>
  <w:style w:type="character" w:customStyle="1" w:styleId="CommentTextChar">
    <w:name w:val="Comment Text Char"/>
    <w:basedOn w:val="DefaultParagraphFont"/>
    <w:link w:val="CommentText"/>
    <w:uiPriority w:val="99"/>
    <w:rsid w:val="00D97469"/>
  </w:style>
  <w:style w:type="paragraph" w:styleId="CommentSubject">
    <w:name w:val="annotation subject"/>
    <w:basedOn w:val="CommentText"/>
    <w:next w:val="CommentText"/>
    <w:link w:val="CommentSubjectChar"/>
    <w:rsid w:val="00D97469"/>
    <w:rPr>
      <w:b/>
      <w:bCs/>
    </w:rPr>
  </w:style>
  <w:style w:type="character" w:customStyle="1" w:styleId="CommentSubjectChar">
    <w:name w:val="Comment Subject Char"/>
    <w:link w:val="CommentSubject"/>
    <w:rsid w:val="00D97469"/>
    <w:rPr>
      <w:b/>
      <w:bCs/>
    </w:rPr>
  </w:style>
  <w:style w:type="paragraph" w:styleId="Date">
    <w:name w:val="Date"/>
    <w:basedOn w:val="Normal"/>
    <w:next w:val="Normal"/>
    <w:link w:val="DateChar"/>
    <w:rsid w:val="00D97469"/>
  </w:style>
  <w:style w:type="character" w:customStyle="1" w:styleId="DateChar">
    <w:name w:val="Date Char"/>
    <w:link w:val="Date"/>
    <w:rsid w:val="00D97469"/>
    <w:rPr>
      <w:sz w:val="24"/>
      <w:szCs w:val="24"/>
    </w:rPr>
  </w:style>
  <w:style w:type="paragraph" w:styleId="DocumentMap">
    <w:name w:val="Document Map"/>
    <w:basedOn w:val="Normal"/>
    <w:link w:val="DocumentMapChar"/>
    <w:rsid w:val="00D97469"/>
    <w:rPr>
      <w:rFonts w:ascii="Segoe UI" w:hAnsi="Segoe UI" w:cs="Segoe UI"/>
      <w:sz w:val="16"/>
      <w:szCs w:val="16"/>
    </w:rPr>
  </w:style>
  <w:style w:type="character" w:customStyle="1" w:styleId="DocumentMapChar">
    <w:name w:val="Document Map Char"/>
    <w:link w:val="DocumentMap"/>
    <w:rsid w:val="00D97469"/>
    <w:rPr>
      <w:rFonts w:ascii="Segoe UI" w:hAnsi="Segoe UI" w:cs="Segoe UI"/>
      <w:sz w:val="16"/>
      <w:szCs w:val="16"/>
    </w:rPr>
  </w:style>
  <w:style w:type="paragraph" w:styleId="E-mailSignature">
    <w:name w:val="E-mail Signature"/>
    <w:basedOn w:val="Normal"/>
    <w:link w:val="E-mailSignatureChar"/>
    <w:rsid w:val="00D97469"/>
  </w:style>
  <w:style w:type="character" w:customStyle="1" w:styleId="E-mailSignatureChar">
    <w:name w:val="E-mail Signature Char"/>
    <w:link w:val="E-mailSignature"/>
    <w:rsid w:val="00D97469"/>
    <w:rPr>
      <w:sz w:val="24"/>
      <w:szCs w:val="24"/>
    </w:rPr>
  </w:style>
  <w:style w:type="paragraph" w:styleId="EndnoteText">
    <w:name w:val="endnote text"/>
    <w:basedOn w:val="Normal"/>
    <w:link w:val="EndnoteTextChar"/>
    <w:rsid w:val="00D97469"/>
    <w:rPr>
      <w:sz w:val="20"/>
      <w:szCs w:val="20"/>
    </w:rPr>
  </w:style>
  <w:style w:type="character" w:customStyle="1" w:styleId="EndnoteTextChar">
    <w:name w:val="Endnote Text Char"/>
    <w:basedOn w:val="DefaultParagraphFont"/>
    <w:link w:val="EndnoteText"/>
    <w:rsid w:val="00D97469"/>
  </w:style>
  <w:style w:type="paragraph" w:styleId="EnvelopeAddress">
    <w:name w:val="envelope address"/>
    <w:basedOn w:val="Normal"/>
    <w:rsid w:val="00D97469"/>
    <w:pPr>
      <w:framePr w:w="7920" w:h="1980" w:hRule="exact" w:hSpace="180" w:wrap="auto" w:hAnchor="page" w:xAlign="center" w:yAlign="bottom"/>
      <w:ind w:left="2880"/>
    </w:pPr>
    <w:rPr>
      <w:rFonts w:ascii="Calibri Light" w:hAnsi="Calibri Light"/>
    </w:rPr>
  </w:style>
  <w:style w:type="paragraph" w:styleId="EnvelopeReturn">
    <w:name w:val="envelope return"/>
    <w:basedOn w:val="Normal"/>
    <w:rsid w:val="00D97469"/>
    <w:rPr>
      <w:rFonts w:ascii="Calibri Light" w:hAnsi="Calibri Light"/>
      <w:sz w:val="20"/>
      <w:szCs w:val="20"/>
    </w:rPr>
  </w:style>
  <w:style w:type="paragraph" w:styleId="FootnoteText">
    <w:name w:val="footnote text"/>
    <w:basedOn w:val="Normal"/>
    <w:link w:val="FootnoteTextChar"/>
    <w:rsid w:val="002C4CEC"/>
    <w:pPr>
      <w:ind w:firstLine="0"/>
    </w:pPr>
    <w:rPr>
      <w:sz w:val="20"/>
      <w:szCs w:val="20"/>
    </w:rPr>
  </w:style>
  <w:style w:type="character" w:customStyle="1" w:styleId="FootnoteTextChar">
    <w:name w:val="Footnote Text Char"/>
    <w:basedOn w:val="DefaultParagraphFont"/>
    <w:link w:val="FootnoteText"/>
    <w:rsid w:val="002C4CEC"/>
  </w:style>
  <w:style w:type="character" w:customStyle="1" w:styleId="Heading6Char">
    <w:name w:val="Heading 6 Char"/>
    <w:link w:val="Heading6"/>
    <w:rsid w:val="00B51A2A"/>
    <w:rPr>
      <w:rFonts w:cs="Arial"/>
      <w:sz w:val="24"/>
      <w:szCs w:val="22"/>
    </w:rPr>
  </w:style>
  <w:style w:type="character" w:customStyle="1" w:styleId="Heading7Char">
    <w:name w:val="Heading 7 Char"/>
    <w:link w:val="Heading7"/>
    <w:rsid w:val="00B51A2A"/>
    <w:rPr>
      <w:rFonts w:ascii="Times New Roman Bold" w:hAnsi="Times New Roman Bold"/>
      <w:b/>
      <w:sz w:val="24"/>
      <w:szCs w:val="24"/>
    </w:rPr>
  </w:style>
  <w:style w:type="character" w:customStyle="1" w:styleId="Heading8Char">
    <w:name w:val="Heading 8 Char"/>
    <w:link w:val="Heading8"/>
    <w:semiHidden/>
    <w:rsid w:val="00B51A2A"/>
    <w:rPr>
      <w:rFonts w:ascii="Calibri" w:hAnsi="Calibri"/>
      <w:i/>
      <w:iCs/>
      <w:sz w:val="24"/>
      <w:szCs w:val="24"/>
    </w:rPr>
  </w:style>
  <w:style w:type="character" w:customStyle="1" w:styleId="Heading9Char">
    <w:name w:val="Heading 9 Char"/>
    <w:link w:val="Heading9"/>
    <w:semiHidden/>
    <w:rsid w:val="00B51A2A"/>
    <w:rPr>
      <w:rFonts w:ascii="Calibri Light" w:hAnsi="Calibri Light"/>
      <w:sz w:val="22"/>
      <w:szCs w:val="22"/>
    </w:rPr>
  </w:style>
  <w:style w:type="paragraph" w:styleId="HTMLAddress">
    <w:name w:val="HTML Address"/>
    <w:basedOn w:val="Normal"/>
    <w:link w:val="HTMLAddressChar"/>
    <w:rsid w:val="00D97469"/>
    <w:rPr>
      <w:i/>
      <w:iCs/>
    </w:rPr>
  </w:style>
  <w:style w:type="character" w:customStyle="1" w:styleId="HTMLAddressChar">
    <w:name w:val="HTML Address Char"/>
    <w:link w:val="HTMLAddress"/>
    <w:rsid w:val="00D97469"/>
    <w:rPr>
      <w:i/>
      <w:iCs/>
      <w:sz w:val="24"/>
      <w:szCs w:val="24"/>
    </w:rPr>
  </w:style>
  <w:style w:type="paragraph" w:styleId="HTMLPreformatted">
    <w:name w:val="HTML Preformatted"/>
    <w:basedOn w:val="Normal"/>
    <w:link w:val="HTMLPreformattedChar"/>
    <w:rsid w:val="00D97469"/>
    <w:rPr>
      <w:rFonts w:ascii="Courier New" w:hAnsi="Courier New" w:cs="Courier New"/>
      <w:sz w:val="20"/>
      <w:szCs w:val="20"/>
    </w:rPr>
  </w:style>
  <w:style w:type="character" w:customStyle="1" w:styleId="HTMLPreformattedChar">
    <w:name w:val="HTML Preformatted Char"/>
    <w:link w:val="HTMLPreformatted"/>
    <w:rsid w:val="00D97469"/>
    <w:rPr>
      <w:rFonts w:ascii="Courier New" w:hAnsi="Courier New" w:cs="Courier New"/>
    </w:rPr>
  </w:style>
  <w:style w:type="paragraph" w:styleId="Index1">
    <w:name w:val="index 1"/>
    <w:basedOn w:val="Normal"/>
    <w:next w:val="Normal"/>
    <w:autoRedefine/>
    <w:rsid w:val="00D97469"/>
    <w:pPr>
      <w:ind w:left="240" w:hanging="240"/>
    </w:pPr>
  </w:style>
  <w:style w:type="paragraph" w:styleId="Index2">
    <w:name w:val="index 2"/>
    <w:basedOn w:val="Normal"/>
    <w:next w:val="Normal"/>
    <w:autoRedefine/>
    <w:rsid w:val="00D97469"/>
    <w:pPr>
      <w:ind w:left="480" w:hanging="240"/>
    </w:pPr>
  </w:style>
  <w:style w:type="paragraph" w:styleId="Index3">
    <w:name w:val="index 3"/>
    <w:basedOn w:val="Normal"/>
    <w:next w:val="Normal"/>
    <w:autoRedefine/>
    <w:rsid w:val="00D97469"/>
    <w:pPr>
      <w:ind w:left="720" w:hanging="240"/>
    </w:pPr>
  </w:style>
  <w:style w:type="paragraph" w:styleId="Index4">
    <w:name w:val="index 4"/>
    <w:basedOn w:val="Normal"/>
    <w:next w:val="Normal"/>
    <w:autoRedefine/>
    <w:rsid w:val="00D97469"/>
    <w:pPr>
      <w:ind w:left="960" w:hanging="240"/>
    </w:pPr>
  </w:style>
  <w:style w:type="paragraph" w:styleId="Index5">
    <w:name w:val="index 5"/>
    <w:basedOn w:val="Normal"/>
    <w:next w:val="Normal"/>
    <w:autoRedefine/>
    <w:rsid w:val="00D97469"/>
    <w:pPr>
      <w:ind w:left="1200" w:hanging="240"/>
    </w:pPr>
  </w:style>
  <w:style w:type="paragraph" w:styleId="Index6">
    <w:name w:val="index 6"/>
    <w:basedOn w:val="Normal"/>
    <w:next w:val="Normal"/>
    <w:autoRedefine/>
    <w:rsid w:val="00D97469"/>
    <w:pPr>
      <w:ind w:left="1440" w:hanging="240"/>
    </w:pPr>
  </w:style>
  <w:style w:type="paragraph" w:styleId="Index7">
    <w:name w:val="index 7"/>
    <w:basedOn w:val="Normal"/>
    <w:next w:val="Normal"/>
    <w:autoRedefine/>
    <w:rsid w:val="00D97469"/>
    <w:pPr>
      <w:ind w:left="1680" w:hanging="240"/>
    </w:pPr>
  </w:style>
  <w:style w:type="paragraph" w:styleId="Index8">
    <w:name w:val="index 8"/>
    <w:basedOn w:val="Normal"/>
    <w:next w:val="Normal"/>
    <w:autoRedefine/>
    <w:rsid w:val="00D97469"/>
    <w:pPr>
      <w:ind w:left="1920" w:hanging="240"/>
    </w:pPr>
  </w:style>
  <w:style w:type="paragraph" w:styleId="Index9">
    <w:name w:val="index 9"/>
    <w:basedOn w:val="Normal"/>
    <w:next w:val="Normal"/>
    <w:autoRedefine/>
    <w:rsid w:val="00D97469"/>
    <w:pPr>
      <w:ind w:left="2160" w:hanging="240"/>
    </w:pPr>
  </w:style>
  <w:style w:type="paragraph" w:styleId="IndexHeading">
    <w:name w:val="index heading"/>
    <w:basedOn w:val="Normal"/>
    <w:next w:val="Index1"/>
    <w:rsid w:val="00D97469"/>
    <w:rPr>
      <w:rFonts w:ascii="Calibri Light" w:hAnsi="Calibri Light"/>
      <w:b/>
      <w:bCs/>
    </w:rPr>
  </w:style>
  <w:style w:type="paragraph" w:styleId="IntenseQuote">
    <w:name w:val="Intense Quote"/>
    <w:basedOn w:val="Normal"/>
    <w:next w:val="Normal"/>
    <w:link w:val="IntenseQuoteChar"/>
    <w:uiPriority w:val="30"/>
    <w:qFormat/>
    <w:rsid w:val="00B51A2A"/>
    <w:pPr>
      <w:pBdr>
        <w:top w:val="single" w:sz="4" w:space="10" w:color="5B9BD5"/>
        <w:bottom w:val="single" w:sz="4" w:space="10" w:color="5B9BD5"/>
      </w:pBdr>
      <w:spacing w:before="360" w:after="360"/>
      <w:ind w:left="864" w:right="864"/>
      <w:jc w:val="center"/>
    </w:pPr>
    <w:rPr>
      <w:i/>
      <w:iCs/>
      <w:color w:val="5B9BD5"/>
    </w:rPr>
  </w:style>
  <w:style w:type="character" w:customStyle="1" w:styleId="IntenseQuoteChar">
    <w:name w:val="Intense Quote Char"/>
    <w:link w:val="IntenseQuote"/>
    <w:uiPriority w:val="30"/>
    <w:rsid w:val="00B51A2A"/>
    <w:rPr>
      <w:i/>
      <w:iCs/>
      <w:color w:val="5B9BD5"/>
      <w:sz w:val="24"/>
      <w:szCs w:val="24"/>
    </w:rPr>
  </w:style>
  <w:style w:type="paragraph" w:styleId="List">
    <w:name w:val="List"/>
    <w:basedOn w:val="Normal"/>
    <w:rsid w:val="00D97469"/>
    <w:pPr>
      <w:ind w:left="360" w:hanging="360"/>
      <w:contextualSpacing/>
    </w:pPr>
  </w:style>
  <w:style w:type="paragraph" w:styleId="List2">
    <w:name w:val="List 2"/>
    <w:basedOn w:val="Normal"/>
    <w:rsid w:val="00D97469"/>
    <w:pPr>
      <w:ind w:left="720" w:hanging="360"/>
      <w:contextualSpacing/>
    </w:pPr>
  </w:style>
  <w:style w:type="paragraph" w:styleId="List3">
    <w:name w:val="List 3"/>
    <w:basedOn w:val="Normal"/>
    <w:rsid w:val="00D97469"/>
    <w:pPr>
      <w:ind w:left="1080" w:hanging="360"/>
      <w:contextualSpacing/>
    </w:pPr>
  </w:style>
  <w:style w:type="paragraph" w:styleId="List4">
    <w:name w:val="List 4"/>
    <w:basedOn w:val="Normal"/>
    <w:rsid w:val="00D97469"/>
    <w:pPr>
      <w:ind w:left="1440" w:hanging="360"/>
      <w:contextualSpacing/>
    </w:pPr>
  </w:style>
  <w:style w:type="paragraph" w:styleId="List5">
    <w:name w:val="List 5"/>
    <w:basedOn w:val="Normal"/>
    <w:rsid w:val="00D97469"/>
    <w:pPr>
      <w:ind w:left="1800" w:hanging="360"/>
      <w:contextualSpacing/>
    </w:pPr>
  </w:style>
  <w:style w:type="paragraph" w:styleId="ListBullet">
    <w:name w:val="List Bullet"/>
    <w:basedOn w:val="Normal"/>
    <w:rsid w:val="00D97469"/>
    <w:pPr>
      <w:numPr>
        <w:numId w:val="2"/>
      </w:numPr>
      <w:contextualSpacing/>
    </w:pPr>
  </w:style>
  <w:style w:type="paragraph" w:styleId="ListBullet2">
    <w:name w:val="List Bullet 2"/>
    <w:basedOn w:val="Normal"/>
    <w:rsid w:val="00D97469"/>
    <w:pPr>
      <w:numPr>
        <w:numId w:val="3"/>
      </w:numPr>
      <w:contextualSpacing/>
    </w:pPr>
  </w:style>
  <w:style w:type="paragraph" w:styleId="ListBullet3">
    <w:name w:val="List Bullet 3"/>
    <w:basedOn w:val="Normal"/>
    <w:rsid w:val="00D97469"/>
    <w:pPr>
      <w:numPr>
        <w:numId w:val="4"/>
      </w:numPr>
      <w:contextualSpacing/>
    </w:pPr>
  </w:style>
  <w:style w:type="paragraph" w:styleId="ListBullet4">
    <w:name w:val="List Bullet 4"/>
    <w:basedOn w:val="Normal"/>
    <w:rsid w:val="00D97469"/>
    <w:pPr>
      <w:numPr>
        <w:numId w:val="5"/>
      </w:numPr>
      <w:contextualSpacing/>
    </w:pPr>
  </w:style>
  <w:style w:type="paragraph" w:styleId="ListBullet5">
    <w:name w:val="List Bullet 5"/>
    <w:basedOn w:val="Normal"/>
    <w:rsid w:val="00D97469"/>
    <w:pPr>
      <w:numPr>
        <w:numId w:val="6"/>
      </w:numPr>
      <w:contextualSpacing/>
    </w:pPr>
  </w:style>
  <w:style w:type="paragraph" w:styleId="ListContinue">
    <w:name w:val="List Continue"/>
    <w:basedOn w:val="Normal"/>
    <w:rsid w:val="00D97469"/>
    <w:pPr>
      <w:spacing w:after="120"/>
      <w:ind w:left="360"/>
      <w:contextualSpacing/>
    </w:pPr>
  </w:style>
  <w:style w:type="paragraph" w:styleId="ListContinue2">
    <w:name w:val="List Continue 2"/>
    <w:basedOn w:val="Normal"/>
    <w:rsid w:val="00D97469"/>
    <w:pPr>
      <w:spacing w:after="120"/>
      <w:ind w:left="720"/>
      <w:contextualSpacing/>
    </w:pPr>
  </w:style>
  <w:style w:type="paragraph" w:styleId="ListContinue3">
    <w:name w:val="List Continue 3"/>
    <w:basedOn w:val="Normal"/>
    <w:rsid w:val="00D97469"/>
    <w:pPr>
      <w:spacing w:after="120"/>
      <w:ind w:left="1080"/>
      <w:contextualSpacing/>
    </w:pPr>
  </w:style>
  <w:style w:type="paragraph" w:styleId="ListContinue4">
    <w:name w:val="List Continue 4"/>
    <w:basedOn w:val="Normal"/>
    <w:rsid w:val="00D97469"/>
    <w:pPr>
      <w:spacing w:after="120"/>
      <w:ind w:left="1440"/>
      <w:contextualSpacing/>
    </w:pPr>
  </w:style>
  <w:style w:type="paragraph" w:styleId="ListContinue5">
    <w:name w:val="List Continue 5"/>
    <w:basedOn w:val="Normal"/>
    <w:rsid w:val="00D97469"/>
    <w:pPr>
      <w:spacing w:after="120"/>
      <w:ind w:left="1800"/>
      <w:contextualSpacing/>
    </w:pPr>
  </w:style>
  <w:style w:type="paragraph" w:styleId="ListNumber">
    <w:name w:val="List Number"/>
    <w:basedOn w:val="Normal"/>
    <w:rsid w:val="00D97469"/>
    <w:pPr>
      <w:numPr>
        <w:numId w:val="11"/>
      </w:numPr>
      <w:contextualSpacing/>
    </w:pPr>
  </w:style>
  <w:style w:type="paragraph" w:styleId="ListNumber2">
    <w:name w:val="List Number 2"/>
    <w:basedOn w:val="Normal"/>
    <w:rsid w:val="00D97469"/>
    <w:pPr>
      <w:numPr>
        <w:numId w:val="9"/>
      </w:numPr>
      <w:contextualSpacing/>
    </w:pPr>
  </w:style>
  <w:style w:type="paragraph" w:styleId="ListNumber3">
    <w:name w:val="List Number 3"/>
    <w:basedOn w:val="Normal"/>
    <w:rsid w:val="00D97469"/>
    <w:pPr>
      <w:numPr>
        <w:numId w:val="10"/>
      </w:numPr>
      <w:contextualSpacing/>
    </w:pPr>
  </w:style>
  <w:style w:type="paragraph" w:styleId="ListNumber4">
    <w:name w:val="List Number 4"/>
    <w:basedOn w:val="Normal"/>
    <w:rsid w:val="00D97469"/>
    <w:pPr>
      <w:numPr>
        <w:numId w:val="8"/>
      </w:numPr>
      <w:contextualSpacing/>
    </w:pPr>
  </w:style>
  <w:style w:type="paragraph" w:styleId="ListNumber5">
    <w:name w:val="List Number 5"/>
    <w:basedOn w:val="Normal"/>
    <w:rsid w:val="00D97469"/>
    <w:pPr>
      <w:numPr>
        <w:numId w:val="7"/>
      </w:numPr>
      <w:contextualSpacing/>
    </w:pPr>
  </w:style>
  <w:style w:type="paragraph" w:styleId="ListParagraph">
    <w:name w:val="List Paragraph"/>
    <w:basedOn w:val="Normal"/>
    <w:uiPriority w:val="34"/>
    <w:qFormat/>
    <w:rsid w:val="00B51A2A"/>
    <w:pPr>
      <w:ind w:left="720"/>
    </w:pPr>
  </w:style>
  <w:style w:type="paragraph" w:styleId="MacroText">
    <w:name w:val="macro"/>
    <w:link w:val="MacroTextChar"/>
    <w:rsid w:val="00D97469"/>
    <w:pPr>
      <w:tabs>
        <w:tab w:val="left" w:pos="480"/>
        <w:tab w:val="left" w:pos="960"/>
        <w:tab w:val="left" w:pos="1440"/>
        <w:tab w:val="left" w:pos="1920"/>
        <w:tab w:val="left" w:pos="2400"/>
        <w:tab w:val="left" w:pos="2880"/>
        <w:tab w:val="left" w:pos="3360"/>
        <w:tab w:val="left" w:pos="3840"/>
        <w:tab w:val="left" w:pos="4320"/>
      </w:tabs>
      <w:spacing w:line="480" w:lineRule="auto"/>
      <w:ind w:firstLine="720"/>
      <w:jc w:val="both"/>
    </w:pPr>
    <w:rPr>
      <w:rFonts w:ascii="Courier New" w:hAnsi="Courier New" w:cs="Courier New"/>
    </w:rPr>
  </w:style>
  <w:style w:type="character" w:customStyle="1" w:styleId="MacroTextChar">
    <w:name w:val="Macro Text Char"/>
    <w:link w:val="MacroText"/>
    <w:rsid w:val="00D97469"/>
    <w:rPr>
      <w:rFonts w:ascii="Courier New" w:hAnsi="Courier New" w:cs="Courier New"/>
    </w:rPr>
  </w:style>
  <w:style w:type="paragraph" w:styleId="MessageHeader">
    <w:name w:val="Message Header"/>
    <w:basedOn w:val="Normal"/>
    <w:link w:val="MessageHeaderChar"/>
    <w:rsid w:val="00D97469"/>
    <w:pPr>
      <w:pBdr>
        <w:top w:val="single" w:sz="6" w:space="1" w:color="auto"/>
        <w:left w:val="single" w:sz="6" w:space="1" w:color="auto"/>
        <w:bottom w:val="single" w:sz="6" w:space="1" w:color="auto"/>
        <w:right w:val="single" w:sz="6" w:space="1" w:color="auto"/>
      </w:pBdr>
      <w:shd w:val="pct20" w:color="auto" w:fill="auto"/>
      <w:ind w:left="1080" w:hanging="1080"/>
    </w:pPr>
    <w:rPr>
      <w:rFonts w:ascii="Calibri Light" w:hAnsi="Calibri Light"/>
    </w:rPr>
  </w:style>
  <w:style w:type="character" w:customStyle="1" w:styleId="MessageHeaderChar">
    <w:name w:val="Message Header Char"/>
    <w:link w:val="MessageHeader"/>
    <w:rsid w:val="00D97469"/>
    <w:rPr>
      <w:rFonts w:ascii="Calibri Light" w:eastAsia="Times New Roman" w:hAnsi="Calibri Light" w:cs="Times New Roman"/>
      <w:sz w:val="24"/>
      <w:szCs w:val="24"/>
      <w:shd w:val="pct20" w:color="auto" w:fill="auto"/>
    </w:rPr>
  </w:style>
  <w:style w:type="paragraph" w:styleId="NoSpacing">
    <w:name w:val="No Spacing"/>
    <w:uiPriority w:val="1"/>
    <w:qFormat/>
    <w:rsid w:val="00B51A2A"/>
    <w:pPr>
      <w:ind w:firstLine="720"/>
      <w:jc w:val="both"/>
    </w:pPr>
    <w:rPr>
      <w:sz w:val="24"/>
      <w:szCs w:val="24"/>
    </w:rPr>
  </w:style>
  <w:style w:type="paragraph" w:styleId="NormalWeb">
    <w:name w:val="Normal (Web)"/>
    <w:basedOn w:val="Normal"/>
    <w:uiPriority w:val="99"/>
    <w:rsid w:val="00D97469"/>
  </w:style>
  <w:style w:type="paragraph" w:styleId="NormalIndent">
    <w:name w:val="Normal Indent"/>
    <w:basedOn w:val="Normal"/>
    <w:rsid w:val="00D97469"/>
    <w:pPr>
      <w:ind w:left="720"/>
    </w:pPr>
  </w:style>
  <w:style w:type="paragraph" w:styleId="NoteHeading">
    <w:name w:val="Note Heading"/>
    <w:basedOn w:val="Normal"/>
    <w:next w:val="Normal"/>
    <w:link w:val="NoteHeadingChar"/>
    <w:rsid w:val="00D97469"/>
  </w:style>
  <w:style w:type="character" w:customStyle="1" w:styleId="NoteHeadingChar">
    <w:name w:val="Note Heading Char"/>
    <w:link w:val="NoteHeading"/>
    <w:rsid w:val="00D97469"/>
    <w:rPr>
      <w:sz w:val="24"/>
      <w:szCs w:val="24"/>
    </w:rPr>
  </w:style>
  <w:style w:type="paragraph" w:styleId="PlainText">
    <w:name w:val="Plain Text"/>
    <w:basedOn w:val="Normal"/>
    <w:link w:val="PlainTextChar"/>
    <w:uiPriority w:val="99"/>
    <w:rsid w:val="00D97469"/>
    <w:rPr>
      <w:rFonts w:ascii="Courier New" w:hAnsi="Courier New" w:cs="Courier New"/>
      <w:sz w:val="20"/>
      <w:szCs w:val="20"/>
    </w:rPr>
  </w:style>
  <w:style w:type="character" w:customStyle="1" w:styleId="PlainTextChar">
    <w:name w:val="Plain Text Char"/>
    <w:link w:val="PlainText"/>
    <w:uiPriority w:val="99"/>
    <w:rsid w:val="00D97469"/>
    <w:rPr>
      <w:rFonts w:ascii="Courier New" w:hAnsi="Courier New" w:cs="Courier New"/>
    </w:rPr>
  </w:style>
  <w:style w:type="paragraph" w:styleId="Quote">
    <w:name w:val="Quote"/>
    <w:basedOn w:val="Normal"/>
    <w:next w:val="Normal"/>
    <w:link w:val="QuoteChar"/>
    <w:uiPriority w:val="29"/>
    <w:qFormat/>
    <w:rsid w:val="00B51A2A"/>
    <w:pPr>
      <w:spacing w:before="200" w:after="160"/>
      <w:ind w:left="864" w:right="864"/>
      <w:jc w:val="center"/>
    </w:pPr>
    <w:rPr>
      <w:i/>
      <w:iCs/>
      <w:color w:val="404040"/>
    </w:rPr>
  </w:style>
  <w:style w:type="character" w:customStyle="1" w:styleId="QuoteChar">
    <w:name w:val="Quote Char"/>
    <w:link w:val="Quote"/>
    <w:uiPriority w:val="29"/>
    <w:rsid w:val="00B51A2A"/>
    <w:rPr>
      <w:i/>
      <w:iCs/>
      <w:color w:val="404040"/>
      <w:sz w:val="24"/>
      <w:szCs w:val="24"/>
    </w:rPr>
  </w:style>
  <w:style w:type="paragraph" w:styleId="Salutation">
    <w:name w:val="Salutation"/>
    <w:basedOn w:val="Normal"/>
    <w:next w:val="Normal"/>
    <w:link w:val="SalutationChar"/>
    <w:rsid w:val="00D97469"/>
  </w:style>
  <w:style w:type="character" w:customStyle="1" w:styleId="SalutationChar">
    <w:name w:val="Salutation Char"/>
    <w:link w:val="Salutation"/>
    <w:rsid w:val="00D97469"/>
    <w:rPr>
      <w:sz w:val="24"/>
      <w:szCs w:val="24"/>
    </w:rPr>
  </w:style>
  <w:style w:type="paragraph" w:styleId="Signature">
    <w:name w:val="Signature"/>
    <w:basedOn w:val="Normal"/>
    <w:link w:val="SignatureChar"/>
    <w:rsid w:val="00D97469"/>
    <w:pPr>
      <w:ind w:left="4320"/>
    </w:pPr>
  </w:style>
  <w:style w:type="character" w:customStyle="1" w:styleId="SignatureChar">
    <w:name w:val="Signature Char"/>
    <w:link w:val="Signature"/>
    <w:rsid w:val="00D97469"/>
    <w:rPr>
      <w:sz w:val="24"/>
      <w:szCs w:val="24"/>
    </w:rPr>
  </w:style>
  <w:style w:type="paragraph" w:styleId="Subtitle">
    <w:name w:val="Subtitle"/>
    <w:basedOn w:val="Normal"/>
    <w:next w:val="Normal"/>
    <w:link w:val="SubtitleChar"/>
    <w:qFormat/>
    <w:rsid w:val="00B51A2A"/>
    <w:pPr>
      <w:spacing w:after="60"/>
      <w:jc w:val="center"/>
      <w:outlineLvl w:val="1"/>
    </w:pPr>
    <w:rPr>
      <w:rFonts w:ascii="Calibri Light" w:hAnsi="Calibri Light"/>
    </w:rPr>
  </w:style>
  <w:style w:type="character" w:customStyle="1" w:styleId="SubtitleChar">
    <w:name w:val="Subtitle Char"/>
    <w:link w:val="Subtitle"/>
    <w:rsid w:val="00B51A2A"/>
    <w:rPr>
      <w:rFonts w:ascii="Calibri Light" w:hAnsi="Calibri Light"/>
      <w:sz w:val="24"/>
      <w:szCs w:val="24"/>
    </w:rPr>
  </w:style>
  <w:style w:type="paragraph" w:styleId="TableofAuthorities">
    <w:name w:val="table of authorities"/>
    <w:basedOn w:val="Normal"/>
    <w:next w:val="Normal"/>
    <w:rsid w:val="00D97469"/>
    <w:pPr>
      <w:ind w:left="240" w:hanging="240"/>
    </w:pPr>
  </w:style>
  <w:style w:type="paragraph" w:styleId="Title">
    <w:name w:val="Title"/>
    <w:basedOn w:val="Normal"/>
    <w:next w:val="Normal"/>
    <w:link w:val="TitleChar"/>
    <w:rsid w:val="00D97469"/>
    <w:pPr>
      <w:spacing w:before="240" w:after="60"/>
      <w:jc w:val="center"/>
      <w:outlineLvl w:val="0"/>
    </w:pPr>
    <w:rPr>
      <w:rFonts w:ascii="Calibri Light" w:hAnsi="Calibri Light"/>
      <w:b/>
      <w:bCs/>
      <w:kern w:val="28"/>
      <w:sz w:val="32"/>
      <w:szCs w:val="32"/>
    </w:rPr>
  </w:style>
  <w:style w:type="character" w:customStyle="1" w:styleId="TitleChar">
    <w:name w:val="Title Char"/>
    <w:link w:val="Title"/>
    <w:rsid w:val="00D97469"/>
    <w:rPr>
      <w:rFonts w:ascii="Calibri Light" w:eastAsia="Times New Roman" w:hAnsi="Calibri Light" w:cs="Times New Roman"/>
      <w:b/>
      <w:bCs/>
      <w:kern w:val="28"/>
      <w:sz w:val="32"/>
      <w:szCs w:val="32"/>
    </w:rPr>
  </w:style>
  <w:style w:type="paragraph" w:styleId="TOAHeading">
    <w:name w:val="toa heading"/>
    <w:basedOn w:val="Normal"/>
    <w:next w:val="Normal"/>
    <w:rsid w:val="00D97469"/>
    <w:pPr>
      <w:spacing w:before="120"/>
    </w:pPr>
    <w:rPr>
      <w:rFonts w:ascii="Calibri Light" w:hAnsi="Calibri Light"/>
      <w:b/>
      <w:bCs/>
    </w:rPr>
  </w:style>
  <w:style w:type="paragraph" w:styleId="TOC5">
    <w:name w:val="toc 5"/>
    <w:basedOn w:val="Normal"/>
    <w:next w:val="Normal"/>
    <w:autoRedefine/>
    <w:uiPriority w:val="39"/>
    <w:rsid w:val="00634E5C"/>
    <w:pPr>
      <w:ind w:left="2880" w:hanging="864"/>
      <w:jc w:val="left"/>
    </w:pPr>
    <w:rPr>
      <w:b/>
    </w:rPr>
  </w:style>
  <w:style w:type="paragraph" w:styleId="TOC6">
    <w:name w:val="toc 6"/>
    <w:basedOn w:val="Normal"/>
    <w:next w:val="Normal"/>
    <w:autoRedefine/>
    <w:uiPriority w:val="39"/>
    <w:rsid w:val="00E80F42"/>
    <w:pPr>
      <w:ind w:left="1224" w:hanging="720"/>
    </w:pPr>
    <w:rPr>
      <w:b/>
    </w:rPr>
  </w:style>
  <w:style w:type="paragraph" w:styleId="TOC7">
    <w:name w:val="toc 7"/>
    <w:basedOn w:val="Normal"/>
    <w:next w:val="Normal"/>
    <w:autoRedefine/>
    <w:uiPriority w:val="39"/>
    <w:rsid w:val="00E80F42"/>
    <w:pPr>
      <w:ind w:left="1728" w:hanging="720"/>
    </w:pPr>
    <w:rPr>
      <w:b/>
    </w:rPr>
  </w:style>
  <w:style w:type="paragraph" w:styleId="TOC8">
    <w:name w:val="toc 8"/>
    <w:basedOn w:val="Normal"/>
    <w:next w:val="Normal"/>
    <w:autoRedefine/>
    <w:rsid w:val="00D97469"/>
    <w:pPr>
      <w:ind w:left="1680"/>
    </w:pPr>
  </w:style>
  <w:style w:type="paragraph" w:styleId="TOC9">
    <w:name w:val="toc 9"/>
    <w:basedOn w:val="Normal"/>
    <w:next w:val="Normal"/>
    <w:autoRedefine/>
    <w:uiPriority w:val="39"/>
    <w:rsid w:val="00D97469"/>
    <w:pPr>
      <w:ind w:left="1920"/>
    </w:pPr>
  </w:style>
  <w:style w:type="paragraph" w:styleId="TOCHeading">
    <w:name w:val="TOC Heading"/>
    <w:basedOn w:val="Heading1"/>
    <w:next w:val="Normal"/>
    <w:uiPriority w:val="39"/>
    <w:semiHidden/>
    <w:unhideWhenUsed/>
    <w:qFormat/>
    <w:rsid w:val="00B51A2A"/>
    <w:pPr>
      <w:pageBreakBefore w:val="0"/>
      <w:numPr>
        <w:numId w:val="0"/>
      </w:numPr>
      <w:spacing w:before="240" w:after="60"/>
      <w:ind w:firstLine="720"/>
      <w:jc w:val="both"/>
      <w:outlineLvl w:val="9"/>
    </w:pPr>
    <w:rPr>
      <w:rFonts w:ascii="Calibri Light" w:hAnsi="Calibri Light" w:cs="Times New Roman"/>
      <w:caps/>
      <w:kern w:val="32"/>
      <w:sz w:val="32"/>
      <w:szCs w:val="32"/>
    </w:rPr>
  </w:style>
  <w:style w:type="paragraph" w:customStyle="1" w:styleId="TitlePage">
    <w:name w:val="Title Page"/>
    <w:basedOn w:val="Heading"/>
    <w:next w:val="Normal"/>
    <w:rsid w:val="00D06DD6"/>
    <w:pPr>
      <w:keepNext w:val="0"/>
      <w:pageBreakBefore w:val="0"/>
      <w:spacing w:after="0" w:line="240" w:lineRule="auto"/>
    </w:pPr>
    <w:rPr>
      <w:color w:val="FFFFFF" w:themeColor="background1"/>
      <w:sz w:val="2"/>
    </w:rPr>
  </w:style>
  <w:style w:type="paragraph" w:customStyle="1" w:styleId="CommitteePage">
    <w:name w:val="Committee Page"/>
    <w:basedOn w:val="Heading"/>
    <w:next w:val="Normal"/>
    <w:qFormat/>
    <w:rsid w:val="00B51A2A"/>
    <w:pPr>
      <w:spacing w:after="0"/>
    </w:pPr>
    <w:rPr>
      <w:color w:val="FFFFFF" w:themeColor="background1"/>
      <w:sz w:val="2"/>
    </w:rPr>
  </w:style>
  <w:style w:type="paragraph" w:customStyle="1" w:styleId="AbstractHeading">
    <w:name w:val="Abstract Heading"/>
    <w:basedOn w:val="TitlePage"/>
    <w:rsid w:val="001C7AFC"/>
    <w:pPr>
      <w:pageBreakBefore/>
    </w:pPr>
  </w:style>
  <w:style w:type="character" w:customStyle="1" w:styleId="FooterChar">
    <w:name w:val="Footer Char"/>
    <w:basedOn w:val="DefaultParagraphFont"/>
    <w:link w:val="Footer"/>
    <w:uiPriority w:val="99"/>
    <w:rsid w:val="00AF3154"/>
    <w:rPr>
      <w:sz w:val="24"/>
      <w:szCs w:val="24"/>
    </w:rPr>
  </w:style>
  <w:style w:type="paragraph" w:customStyle="1" w:styleId="NoIndent">
    <w:name w:val="No Indent"/>
    <w:basedOn w:val="Normal"/>
    <w:qFormat/>
    <w:rsid w:val="00B51A2A"/>
    <w:pPr>
      <w:ind w:firstLine="0"/>
      <w:jc w:val="center"/>
    </w:pPr>
    <w:rPr>
      <w:noProof/>
    </w:rPr>
  </w:style>
  <w:style w:type="character" w:styleId="PlaceholderText">
    <w:name w:val="Placeholder Text"/>
    <w:basedOn w:val="DefaultParagraphFont"/>
    <w:uiPriority w:val="99"/>
    <w:semiHidden/>
    <w:rsid w:val="00BE1BD6"/>
    <w:rPr>
      <w:color w:val="808080"/>
    </w:rPr>
  </w:style>
  <w:style w:type="character" w:customStyle="1" w:styleId="TitleHeading">
    <w:name w:val="Title Heading"/>
    <w:basedOn w:val="BodyTextChar"/>
    <w:uiPriority w:val="1"/>
    <w:rsid w:val="00A1660F"/>
    <w:rPr>
      <w:rFonts w:ascii="Times New Roman" w:hAnsi="Times New Roman"/>
      <w:b w:val="0"/>
      <w:caps/>
      <w:smallCaps w:val="0"/>
      <w:sz w:val="24"/>
      <w:szCs w:val="24"/>
    </w:rPr>
  </w:style>
  <w:style w:type="paragraph" w:customStyle="1" w:styleId="TableofContentsHeading">
    <w:name w:val="Table of Contents Heading"/>
    <w:basedOn w:val="Preliminary"/>
    <w:rsid w:val="004F0846"/>
  </w:style>
  <w:style w:type="paragraph" w:customStyle="1" w:styleId="HeadingNoTab">
    <w:name w:val="Heading No Tab"/>
    <w:basedOn w:val="Heading"/>
    <w:rsid w:val="00064169"/>
  </w:style>
  <w:style w:type="paragraph" w:customStyle="1" w:styleId="CaptionDescription">
    <w:name w:val="Caption Description"/>
    <w:basedOn w:val="NoIndent"/>
    <w:next w:val="Normal"/>
    <w:qFormat/>
    <w:rsid w:val="00B51A2A"/>
    <w:rPr>
      <w:b/>
      <w:sz w:val="20"/>
    </w:rPr>
  </w:style>
  <w:style w:type="paragraph" w:customStyle="1" w:styleId="EndNoteBibliographyTitle">
    <w:name w:val="EndNote Bibliography Title"/>
    <w:basedOn w:val="Normal"/>
    <w:link w:val="EndNoteBibliographyTitleChar"/>
    <w:rsid w:val="00010FEE"/>
    <w:pPr>
      <w:jc w:val="center"/>
    </w:pPr>
    <w:rPr>
      <w:noProof/>
    </w:rPr>
  </w:style>
  <w:style w:type="character" w:customStyle="1" w:styleId="EndNoteBibliographyTitleChar">
    <w:name w:val="EndNote Bibliography Title Char"/>
    <w:basedOn w:val="DefaultParagraphFont"/>
    <w:link w:val="EndNoteBibliographyTitle"/>
    <w:rsid w:val="00010FEE"/>
    <w:rPr>
      <w:noProof/>
      <w:sz w:val="24"/>
      <w:szCs w:val="24"/>
    </w:rPr>
  </w:style>
  <w:style w:type="paragraph" w:customStyle="1" w:styleId="EndNoteBibliography">
    <w:name w:val="EndNote Bibliography"/>
    <w:basedOn w:val="Normal"/>
    <w:link w:val="EndNoteBibliographyChar"/>
    <w:rsid w:val="00010FEE"/>
    <w:pPr>
      <w:spacing w:line="240" w:lineRule="auto"/>
    </w:pPr>
    <w:rPr>
      <w:noProof/>
    </w:rPr>
  </w:style>
  <w:style w:type="character" w:customStyle="1" w:styleId="EndNoteBibliographyChar">
    <w:name w:val="EndNote Bibliography Char"/>
    <w:basedOn w:val="DefaultParagraphFont"/>
    <w:link w:val="EndNoteBibliography"/>
    <w:rsid w:val="00010FEE"/>
    <w:rPr>
      <w:noProof/>
      <w:sz w:val="24"/>
      <w:szCs w:val="24"/>
    </w:rPr>
  </w:style>
  <w:style w:type="paragraph" w:customStyle="1" w:styleId="AppSection">
    <w:name w:val="App Section"/>
    <w:basedOn w:val="Normal"/>
    <w:next w:val="Normal"/>
    <w:rsid w:val="00DD1AE4"/>
    <w:pPr>
      <w:keepNext/>
      <w:numPr>
        <w:ilvl w:val="5"/>
        <w:numId w:val="42"/>
      </w:numPr>
      <w:spacing w:before="960" w:after="480"/>
      <w:jc w:val="center"/>
      <w:outlineLvl w:val="1"/>
    </w:pPr>
    <w:rPr>
      <w:b/>
    </w:rPr>
  </w:style>
  <w:style w:type="paragraph" w:customStyle="1" w:styleId="AppSubsection">
    <w:name w:val="App Subsection"/>
    <w:basedOn w:val="AppSection"/>
    <w:next w:val="Normal"/>
    <w:rsid w:val="00DD1AE4"/>
    <w:pPr>
      <w:numPr>
        <w:ilvl w:val="6"/>
      </w:numPr>
      <w:spacing w:before="480"/>
      <w:jc w:val="left"/>
      <w:outlineLvl w:val="2"/>
    </w:pPr>
  </w:style>
  <w:style w:type="paragraph" w:customStyle="1" w:styleId="Appendix">
    <w:name w:val="Appendix"/>
    <w:basedOn w:val="Normal"/>
    <w:next w:val="Normal"/>
    <w:qFormat/>
    <w:rsid w:val="00B51A2A"/>
    <w:pPr>
      <w:keepNext/>
      <w:pageBreakBefore/>
      <w:numPr>
        <w:ilvl w:val="4"/>
        <w:numId w:val="42"/>
      </w:numPr>
      <w:spacing w:before="960" w:after="960"/>
      <w:jc w:val="center"/>
      <w:outlineLvl w:val="0"/>
    </w:pPr>
    <w:rPr>
      <w:b/>
    </w:rPr>
  </w:style>
  <w:style w:type="paragraph" w:customStyle="1" w:styleId="PreliminaryBookmarks">
    <w:name w:val="Preliminary Bookmarks"/>
    <w:basedOn w:val="Heading1"/>
    <w:qFormat/>
    <w:rsid w:val="00B51A2A"/>
    <w:pPr>
      <w:pageBreakBefore w:val="0"/>
      <w:numPr>
        <w:numId w:val="0"/>
      </w:numPr>
      <w:spacing w:after="0" w:line="240" w:lineRule="auto"/>
    </w:pPr>
    <w:rPr>
      <w:b w:val="0"/>
      <w:color w:val="FFFFFF" w:themeColor="background1"/>
      <w:sz w:val="2"/>
    </w:rPr>
  </w:style>
  <w:style w:type="paragraph" w:customStyle="1" w:styleId="PrelminaryBold">
    <w:name w:val="Prelminary Bold"/>
    <w:basedOn w:val="Normal"/>
    <w:qFormat/>
    <w:rsid w:val="00B51A2A"/>
    <w:pPr>
      <w:spacing w:line="240" w:lineRule="auto"/>
      <w:ind w:firstLine="0"/>
      <w:jc w:val="center"/>
    </w:pPr>
    <w:rPr>
      <w:b/>
    </w:rPr>
  </w:style>
  <w:style w:type="paragraph" w:customStyle="1" w:styleId="PreliminaryNormal">
    <w:name w:val="Preliminary Normal"/>
    <w:basedOn w:val="Normal"/>
    <w:qFormat/>
    <w:rsid w:val="00B51A2A"/>
    <w:pPr>
      <w:spacing w:line="240" w:lineRule="auto"/>
      <w:ind w:firstLine="0"/>
      <w:jc w:val="center"/>
    </w:pPr>
  </w:style>
  <w:style w:type="paragraph" w:customStyle="1" w:styleId="PreliminaryCaps">
    <w:name w:val="Preliminary Caps"/>
    <w:basedOn w:val="Normal"/>
    <w:qFormat/>
    <w:rsid w:val="00B51A2A"/>
    <w:pPr>
      <w:ind w:firstLine="0"/>
      <w:jc w:val="center"/>
    </w:pPr>
  </w:style>
  <w:style w:type="character" w:styleId="FootnoteReference">
    <w:name w:val="footnote reference"/>
    <w:basedOn w:val="DefaultParagraphFont"/>
    <w:uiPriority w:val="99"/>
    <w:rsid w:val="009633E3"/>
    <w:rPr>
      <w:vertAlign w:val="superscript"/>
    </w:rPr>
  </w:style>
  <w:style w:type="character" w:customStyle="1" w:styleId="Heading5Char">
    <w:name w:val="Heading 5 Char"/>
    <w:basedOn w:val="DefaultParagraphFont"/>
    <w:link w:val="Heading5"/>
    <w:rsid w:val="00F06CC9"/>
    <w:rPr>
      <w:rFonts w:cs="Arial"/>
      <w:b/>
      <w:bCs/>
      <w:sz w:val="24"/>
      <w:szCs w:val="26"/>
    </w:rPr>
  </w:style>
  <w:style w:type="character" w:styleId="CommentReference">
    <w:name w:val="annotation reference"/>
    <w:basedOn w:val="DefaultParagraphFont"/>
    <w:uiPriority w:val="99"/>
    <w:unhideWhenUsed/>
    <w:rsid w:val="00D147DA"/>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899198">
      <w:bodyDiv w:val="1"/>
      <w:marLeft w:val="0"/>
      <w:marRight w:val="0"/>
      <w:marTop w:val="0"/>
      <w:marBottom w:val="0"/>
      <w:divBdr>
        <w:top w:val="none" w:sz="0" w:space="0" w:color="auto"/>
        <w:left w:val="none" w:sz="0" w:space="0" w:color="auto"/>
        <w:bottom w:val="none" w:sz="0" w:space="0" w:color="auto"/>
        <w:right w:val="none" w:sz="0" w:space="0" w:color="auto"/>
      </w:divBdr>
    </w:div>
    <w:div w:id="178394155">
      <w:bodyDiv w:val="1"/>
      <w:marLeft w:val="0"/>
      <w:marRight w:val="0"/>
      <w:marTop w:val="0"/>
      <w:marBottom w:val="0"/>
      <w:divBdr>
        <w:top w:val="none" w:sz="0" w:space="0" w:color="auto"/>
        <w:left w:val="none" w:sz="0" w:space="0" w:color="auto"/>
        <w:bottom w:val="none" w:sz="0" w:space="0" w:color="auto"/>
        <w:right w:val="none" w:sz="0" w:space="0" w:color="auto"/>
      </w:divBdr>
    </w:div>
    <w:div w:id="331033023">
      <w:bodyDiv w:val="1"/>
      <w:marLeft w:val="0"/>
      <w:marRight w:val="0"/>
      <w:marTop w:val="0"/>
      <w:marBottom w:val="0"/>
      <w:divBdr>
        <w:top w:val="none" w:sz="0" w:space="0" w:color="auto"/>
        <w:left w:val="none" w:sz="0" w:space="0" w:color="auto"/>
        <w:bottom w:val="none" w:sz="0" w:space="0" w:color="auto"/>
        <w:right w:val="none" w:sz="0" w:space="0" w:color="auto"/>
      </w:divBdr>
    </w:div>
    <w:div w:id="342244666">
      <w:bodyDiv w:val="1"/>
      <w:marLeft w:val="0"/>
      <w:marRight w:val="0"/>
      <w:marTop w:val="0"/>
      <w:marBottom w:val="0"/>
      <w:divBdr>
        <w:top w:val="none" w:sz="0" w:space="0" w:color="auto"/>
        <w:left w:val="none" w:sz="0" w:space="0" w:color="auto"/>
        <w:bottom w:val="none" w:sz="0" w:space="0" w:color="auto"/>
        <w:right w:val="none" w:sz="0" w:space="0" w:color="auto"/>
      </w:divBdr>
    </w:div>
    <w:div w:id="351537300">
      <w:bodyDiv w:val="1"/>
      <w:marLeft w:val="0"/>
      <w:marRight w:val="0"/>
      <w:marTop w:val="0"/>
      <w:marBottom w:val="0"/>
      <w:divBdr>
        <w:top w:val="none" w:sz="0" w:space="0" w:color="auto"/>
        <w:left w:val="none" w:sz="0" w:space="0" w:color="auto"/>
        <w:bottom w:val="none" w:sz="0" w:space="0" w:color="auto"/>
        <w:right w:val="none" w:sz="0" w:space="0" w:color="auto"/>
      </w:divBdr>
    </w:div>
    <w:div w:id="404182816">
      <w:bodyDiv w:val="1"/>
      <w:marLeft w:val="0"/>
      <w:marRight w:val="0"/>
      <w:marTop w:val="0"/>
      <w:marBottom w:val="0"/>
      <w:divBdr>
        <w:top w:val="none" w:sz="0" w:space="0" w:color="auto"/>
        <w:left w:val="none" w:sz="0" w:space="0" w:color="auto"/>
        <w:bottom w:val="none" w:sz="0" w:space="0" w:color="auto"/>
        <w:right w:val="none" w:sz="0" w:space="0" w:color="auto"/>
      </w:divBdr>
    </w:div>
    <w:div w:id="898782154">
      <w:bodyDiv w:val="1"/>
      <w:marLeft w:val="0"/>
      <w:marRight w:val="0"/>
      <w:marTop w:val="0"/>
      <w:marBottom w:val="0"/>
      <w:divBdr>
        <w:top w:val="none" w:sz="0" w:space="0" w:color="auto"/>
        <w:left w:val="none" w:sz="0" w:space="0" w:color="auto"/>
        <w:bottom w:val="none" w:sz="0" w:space="0" w:color="auto"/>
        <w:right w:val="none" w:sz="0" w:space="0" w:color="auto"/>
      </w:divBdr>
    </w:div>
    <w:div w:id="986663421">
      <w:bodyDiv w:val="1"/>
      <w:marLeft w:val="0"/>
      <w:marRight w:val="0"/>
      <w:marTop w:val="0"/>
      <w:marBottom w:val="0"/>
      <w:divBdr>
        <w:top w:val="none" w:sz="0" w:space="0" w:color="auto"/>
        <w:left w:val="none" w:sz="0" w:space="0" w:color="auto"/>
        <w:bottom w:val="none" w:sz="0" w:space="0" w:color="auto"/>
        <w:right w:val="none" w:sz="0" w:space="0" w:color="auto"/>
      </w:divBdr>
    </w:div>
    <w:div w:id="1479803832">
      <w:bodyDiv w:val="1"/>
      <w:marLeft w:val="0"/>
      <w:marRight w:val="0"/>
      <w:marTop w:val="0"/>
      <w:marBottom w:val="0"/>
      <w:divBdr>
        <w:top w:val="none" w:sz="0" w:space="0" w:color="auto"/>
        <w:left w:val="none" w:sz="0" w:space="0" w:color="auto"/>
        <w:bottom w:val="none" w:sz="0" w:space="0" w:color="auto"/>
        <w:right w:val="none" w:sz="0" w:space="0" w:color="auto"/>
      </w:divBdr>
    </w:div>
    <w:div w:id="1602880694">
      <w:bodyDiv w:val="1"/>
      <w:marLeft w:val="0"/>
      <w:marRight w:val="0"/>
      <w:marTop w:val="0"/>
      <w:marBottom w:val="0"/>
      <w:divBdr>
        <w:top w:val="none" w:sz="0" w:space="0" w:color="auto"/>
        <w:left w:val="none" w:sz="0" w:space="0" w:color="auto"/>
        <w:bottom w:val="none" w:sz="0" w:space="0" w:color="auto"/>
        <w:right w:val="none" w:sz="0" w:space="0" w:color="auto"/>
      </w:divBdr>
    </w:div>
    <w:div w:id="1926380053">
      <w:bodyDiv w:val="1"/>
      <w:marLeft w:val="0"/>
      <w:marRight w:val="0"/>
      <w:marTop w:val="0"/>
      <w:marBottom w:val="0"/>
      <w:divBdr>
        <w:top w:val="none" w:sz="0" w:space="0" w:color="auto"/>
        <w:left w:val="none" w:sz="0" w:space="0" w:color="auto"/>
        <w:bottom w:val="none" w:sz="0" w:space="0" w:color="auto"/>
        <w:right w:val="none" w:sz="0" w:space="0" w:color="auto"/>
      </w:divBdr>
    </w:div>
    <w:div w:id="1926918313">
      <w:bodyDiv w:val="1"/>
      <w:marLeft w:val="0"/>
      <w:marRight w:val="0"/>
      <w:marTop w:val="0"/>
      <w:marBottom w:val="0"/>
      <w:divBdr>
        <w:top w:val="none" w:sz="0" w:space="0" w:color="auto"/>
        <w:left w:val="none" w:sz="0" w:space="0" w:color="auto"/>
        <w:bottom w:val="none" w:sz="0" w:space="0" w:color="auto"/>
        <w:right w:val="none" w:sz="0" w:space="0" w:color="auto"/>
      </w:divBdr>
    </w:div>
    <w:div w:id="2049453268">
      <w:bodyDiv w:val="1"/>
      <w:marLeft w:val="0"/>
      <w:marRight w:val="0"/>
      <w:marTop w:val="0"/>
      <w:marBottom w:val="0"/>
      <w:divBdr>
        <w:top w:val="none" w:sz="0" w:space="0" w:color="auto"/>
        <w:left w:val="none" w:sz="0" w:space="0" w:color="auto"/>
        <w:bottom w:val="none" w:sz="0" w:space="0" w:color="auto"/>
        <w:right w:val="none" w:sz="0" w:space="0" w:color="auto"/>
      </w:divBdr>
    </w:div>
    <w:div w:id="2146700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2.png"/><Relationship Id="rId21" Type="http://schemas.openxmlformats.org/officeDocument/2006/relationships/image" Target="media/image6.pn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jpeg"/><Relationship Id="rId2" Type="http://schemas.openxmlformats.org/officeDocument/2006/relationships/customXml" Target="../customXml/item2.xml"/><Relationship Id="rId16" Type="http://schemas.openxmlformats.org/officeDocument/2006/relationships/image" Target="media/image1.png"/><Relationship Id="rId20" Type="http://schemas.openxmlformats.org/officeDocument/2006/relationships/image" Target="media/image5.png"/><Relationship Id="rId29" Type="http://schemas.openxmlformats.org/officeDocument/2006/relationships/image" Target="media/image13.png"/><Relationship Id="rId41" Type="http://schemas.openxmlformats.org/officeDocument/2006/relationships/image" Target="media/image24.jpeg"/><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jpeg"/><Relationship Id="rId53"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footer" Target="footer4.xml"/><Relationship Id="rId23" Type="http://schemas.openxmlformats.org/officeDocument/2006/relationships/image" Target="media/image8.png"/><Relationship Id="rId28" Type="http://schemas.openxmlformats.org/officeDocument/2006/relationships/hyperlink" Target="https://en.wikipedia.org/wiki/Sirolimus" TargetMode="External"/><Relationship Id="rId36" Type="http://schemas.openxmlformats.org/officeDocument/2006/relationships/image" Target="media/image19.png"/><Relationship Id="rId49" Type="http://schemas.openxmlformats.org/officeDocument/2006/relationships/image" Target="media/image32.png"/><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3.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hyperlink" Target="https://www.sciencedirect.com/topics/agricultural-and-biological-sciences/dexamethasone" TargetMode="External"/><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8" Type="http://schemas.openxmlformats.org/officeDocument/2006/relationships/webSettings" Target="webSettings.xml"/><Relationship Id="rId51" Type="http://schemas.openxmlformats.org/officeDocument/2006/relationships/image" Target="media/image34.png"/><Relationship Id="rId3" Type="http://schemas.openxmlformats.org/officeDocument/2006/relationships/customXml" Target="../customXml/item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xcx1\Downloads\ETD_Template_Pitt_v1.9.3.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9EEBD3DE63F4890883B3EE68168BBD7"/>
        <w:category>
          <w:name w:val="General"/>
          <w:gallery w:val="placeholder"/>
        </w:category>
        <w:types>
          <w:type w:val="bbPlcHdr"/>
        </w:types>
        <w:behaviors>
          <w:behavior w:val="content"/>
        </w:behaviors>
        <w:guid w:val="{5C84A0A4-C650-42B3-B868-F336CA59F7E7}"/>
      </w:docPartPr>
      <w:docPartBody>
        <w:p w:rsidR="003C1D93" w:rsidRDefault="00F46D36">
          <w:pPr>
            <w:pStyle w:val="29EEBD3DE63F4890883B3EE68168BBD7"/>
          </w:pPr>
          <w:r>
            <w:rPr>
              <w:rStyle w:val="PlaceholderText"/>
            </w:rPr>
            <w:t>Click to choose your school</w:t>
          </w:r>
        </w:p>
      </w:docPartBody>
    </w:docPart>
    <w:docPart>
      <w:docPartPr>
        <w:name w:val="22474A548E9B4941ADDCBA130F3A960F"/>
        <w:category>
          <w:name w:val="General"/>
          <w:gallery w:val="placeholder"/>
        </w:category>
        <w:types>
          <w:type w:val="bbPlcHdr"/>
        </w:types>
        <w:behaviors>
          <w:behavior w:val="content"/>
        </w:behaviors>
        <w:guid w:val="{9CF606DD-CBD0-4E09-B007-9C63E1BC99DD}"/>
      </w:docPartPr>
      <w:docPartBody>
        <w:p w:rsidR="003C1D93" w:rsidRDefault="00F46D36">
          <w:pPr>
            <w:pStyle w:val="22474A548E9B4941ADDCBA130F3A960F"/>
          </w:pPr>
          <w:r w:rsidRPr="00174952">
            <w:rPr>
              <w:color w:val="A6A6A6" w:themeColor="background1" w:themeShade="A6"/>
            </w:rPr>
            <w:t>Click to choose your degree</w:t>
          </w:r>
        </w:p>
      </w:docPartBody>
    </w:docPart>
    <w:docPart>
      <w:docPartPr>
        <w:name w:val="B92A8B5951EB4EF19D00942F0A68AB5D"/>
        <w:category>
          <w:name w:val="General"/>
          <w:gallery w:val="placeholder"/>
        </w:category>
        <w:types>
          <w:type w:val="bbPlcHdr"/>
        </w:types>
        <w:behaviors>
          <w:behavior w:val="content"/>
        </w:behaviors>
        <w:guid w:val="{C4823B23-6C66-415F-9EE6-3420395F788B}"/>
      </w:docPartPr>
      <w:docPartBody>
        <w:p w:rsidR="003C1D93" w:rsidRDefault="00F46D36">
          <w:pPr>
            <w:pStyle w:val="B92A8B5951EB4EF19D00942F0A68AB5D"/>
          </w:pPr>
          <w:r>
            <w:rPr>
              <w:rStyle w:val="PlaceholderText"/>
            </w:rPr>
            <w:t>Click to choose your school</w:t>
          </w:r>
        </w:p>
      </w:docPartBody>
    </w:docPart>
    <w:docPart>
      <w:docPartPr>
        <w:name w:val="2AFD3F69A2D74A38B27BA67EDB722A77"/>
        <w:category>
          <w:name w:val="General"/>
          <w:gallery w:val="placeholder"/>
        </w:category>
        <w:types>
          <w:type w:val="bbPlcHdr"/>
        </w:types>
        <w:behaviors>
          <w:behavior w:val="content"/>
        </w:behaviors>
        <w:guid w:val="{15166D05-050D-4769-9A91-D83D017DF627}"/>
      </w:docPartPr>
      <w:docPartBody>
        <w:p w:rsidR="003C1D93" w:rsidRDefault="00F46D36">
          <w:pPr>
            <w:pStyle w:val="2AFD3F69A2D74A38B27BA67EDB722A77"/>
          </w:pPr>
          <w:r w:rsidRPr="000402E5">
            <w:rPr>
              <w:rStyle w:val="PlaceholderText"/>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imes New Roman Bold">
    <w:altName w:val="Times New Roman"/>
    <w:panose1 w:val="020208030705050203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Roboto">
    <w:panose1 w:val="00000000000000000000"/>
    <w:charset w:val="00"/>
    <w:family w:val="auto"/>
    <w:pitch w:val="variable"/>
    <w:sig w:usb0="E00002FF" w:usb1="5000205B" w:usb2="00000020" w:usb3="00000000" w:csb0="0000019F" w:csb1="00000000"/>
  </w:font>
  <w:font w:name="DengXian Light">
    <w:charset w:val="86"/>
    <w:family w:val="auto"/>
    <w:pitch w:val="variable"/>
    <w:sig w:usb0="A00002BF" w:usb1="38CF7CFA" w:usb2="00000016" w:usb3="00000000" w:csb0="0004000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comment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1D93"/>
    <w:rsid w:val="000F05DF"/>
    <w:rsid w:val="001B6227"/>
    <w:rsid w:val="00351DC8"/>
    <w:rsid w:val="003B184B"/>
    <w:rsid w:val="003C1D93"/>
    <w:rsid w:val="005D4E9A"/>
    <w:rsid w:val="005F1349"/>
    <w:rsid w:val="0072077C"/>
    <w:rsid w:val="00830ADC"/>
    <w:rsid w:val="008B0AC7"/>
    <w:rsid w:val="008B6C50"/>
    <w:rsid w:val="009129AD"/>
    <w:rsid w:val="009C15F7"/>
    <w:rsid w:val="00BB239C"/>
    <w:rsid w:val="00C91570"/>
    <w:rsid w:val="00E67972"/>
    <w:rsid w:val="00E85C8E"/>
    <w:rsid w:val="00EF3FB0"/>
    <w:rsid w:val="00F46D36"/>
    <w:rsid w:val="00F61C60"/>
    <w:rsid w:val="00FA182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29EEBD3DE63F4890883B3EE68168BBD7">
    <w:name w:val="29EEBD3DE63F4890883B3EE68168BBD7"/>
  </w:style>
  <w:style w:type="paragraph" w:customStyle="1" w:styleId="22474A548E9B4941ADDCBA130F3A960F">
    <w:name w:val="22474A548E9B4941ADDCBA130F3A960F"/>
  </w:style>
  <w:style w:type="paragraph" w:customStyle="1" w:styleId="B92A8B5951EB4EF19D00942F0A68AB5D">
    <w:name w:val="B92A8B5951EB4EF19D00942F0A68AB5D"/>
  </w:style>
  <w:style w:type="paragraph" w:customStyle="1" w:styleId="2AFD3F69A2D74A38B27BA67EDB722A77">
    <w:name w:val="2AFD3F69A2D74A38B27BA67EDB722A7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E46B35BABCF0D4A847AADC82FF11863" ma:contentTypeVersion="13" ma:contentTypeDescription="Create a new document." ma:contentTypeScope="" ma:versionID="a3a9ba91559f7704618ddcf0401fac85">
  <xsd:schema xmlns:xsd="http://www.w3.org/2001/XMLSchema" xmlns:xs="http://www.w3.org/2001/XMLSchema" xmlns:p="http://schemas.microsoft.com/office/2006/metadata/properties" xmlns:ns2="4b62c6a7-cc61-406d-9d3d-faaf4dc25b66" xmlns:ns3="26a6359c-f5ba-4bcc-9adf-14129e9b13fa" targetNamespace="http://schemas.microsoft.com/office/2006/metadata/properties" ma:root="true" ma:fieldsID="ddb5d4274e063ef13d60da75180459b4" ns2:_="" ns3:_="">
    <xsd:import namespace="4b62c6a7-cc61-406d-9d3d-faaf4dc25b66"/>
    <xsd:import namespace="26a6359c-f5ba-4bcc-9adf-14129e9b13fa"/>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b62c6a7-cc61-406d-9d3d-faaf4dc25b6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6a6359c-f5ba-4bcc-9adf-14129e9b13fa"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BAFBEE9-9C10-4007-A019-1C7D262ABA3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48B4992-A8EB-4A60-9EE5-27CE5051B6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b62c6a7-cc61-406d-9d3d-faaf4dc25b66"/>
    <ds:schemaRef ds:uri="26a6359c-f5ba-4bcc-9adf-14129e9b13f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35402C6-0D07-43D3-A561-6C129FC4DAA4}">
  <ds:schemaRefs>
    <ds:schemaRef ds:uri="http://schemas.openxmlformats.org/officeDocument/2006/bibliography"/>
  </ds:schemaRefs>
</ds:datastoreItem>
</file>

<file path=customXml/itemProps4.xml><?xml version="1.0" encoding="utf-8"?>
<ds:datastoreItem xmlns:ds="http://schemas.openxmlformats.org/officeDocument/2006/customXml" ds:itemID="{2A4C3A83-03F5-49A7-B3BB-A1BD5ECF29F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ETD_Template_Pitt_v1.9.3</Template>
  <TotalTime>0</TotalTime>
  <Pages>11</Pages>
  <Words>139870</Words>
  <Characters>797262</Characters>
  <Application>Microsoft Office Word</Application>
  <DocSecurity>0</DocSecurity>
  <Lines>6643</Lines>
  <Paragraphs>1870</Paragraphs>
  <ScaleCrop>false</ScaleCrop>
  <HeadingPairs>
    <vt:vector size="4" baseType="variant">
      <vt:variant>
        <vt:lpstr>Title</vt:lpstr>
      </vt:variant>
      <vt:variant>
        <vt:i4>1</vt:i4>
      </vt:variant>
      <vt:variant>
        <vt:lpstr>Headings</vt:lpstr>
      </vt:variant>
      <vt:variant>
        <vt:i4>11</vt:i4>
      </vt:variant>
    </vt:vector>
  </HeadingPairs>
  <TitlesOfParts>
    <vt:vector size="12" baseType="lpstr">
      <vt:lpstr/>
      <vt:lpstr>Title Page</vt:lpstr>
      <vt:lpstr>Committee Membership Page</vt:lpstr>
      <vt:lpstr>Abstract</vt:lpstr>
      <vt:lpstr>Table of Contents</vt:lpstr>
      <vt:lpstr>List of Tables</vt:lpstr>
      <vt:lpstr>List of Figures</vt:lpstr>
      <vt:lpstr>List of Abbreviations</vt:lpstr>
      <vt:lpstr>Introduction </vt:lpstr>
      <vt:lpstr>    Etiology of Voice Disorders </vt:lpstr>
      <vt:lpstr>    Structure of the Vocal Folds</vt:lpstr>
      <vt:lpstr>        Stratified Squamous Epithelium</vt:lpstr>
    </vt:vector>
  </TitlesOfParts>
  <Company>University of Pittsburgh</Company>
  <LinksUpToDate>false</LinksUpToDate>
  <CharactersWithSpaces>935262</CharactersWithSpaces>
  <SharedDoc>false</SharedDoc>
  <HLinks>
    <vt:vector size="120" baseType="variant">
      <vt:variant>
        <vt:i4>1638463</vt:i4>
      </vt:variant>
      <vt:variant>
        <vt:i4>131</vt:i4>
      </vt:variant>
      <vt:variant>
        <vt:i4>0</vt:i4>
      </vt:variant>
      <vt:variant>
        <vt:i4>5</vt:i4>
      </vt:variant>
      <vt:variant>
        <vt:lpwstr/>
      </vt:variant>
      <vt:variant>
        <vt:lpwstr>_Toc520984215</vt:lpwstr>
      </vt:variant>
      <vt:variant>
        <vt:i4>1638463</vt:i4>
      </vt:variant>
      <vt:variant>
        <vt:i4>125</vt:i4>
      </vt:variant>
      <vt:variant>
        <vt:i4>0</vt:i4>
      </vt:variant>
      <vt:variant>
        <vt:i4>5</vt:i4>
      </vt:variant>
      <vt:variant>
        <vt:lpwstr/>
      </vt:variant>
      <vt:variant>
        <vt:lpwstr>_Toc520984214</vt:lpwstr>
      </vt:variant>
      <vt:variant>
        <vt:i4>1638463</vt:i4>
      </vt:variant>
      <vt:variant>
        <vt:i4>119</vt:i4>
      </vt:variant>
      <vt:variant>
        <vt:i4>0</vt:i4>
      </vt:variant>
      <vt:variant>
        <vt:i4>5</vt:i4>
      </vt:variant>
      <vt:variant>
        <vt:lpwstr/>
      </vt:variant>
      <vt:variant>
        <vt:lpwstr>_Toc520984213</vt:lpwstr>
      </vt:variant>
      <vt:variant>
        <vt:i4>1441850</vt:i4>
      </vt:variant>
      <vt:variant>
        <vt:i4>110</vt:i4>
      </vt:variant>
      <vt:variant>
        <vt:i4>0</vt:i4>
      </vt:variant>
      <vt:variant>
        <vt:i4>5</vt:i4>
      </vt:variant>
      <vt:variant>
        <vt:lpwstr/>
      </vt:variant>
      <vt:variant>
        <vt:lpwstr>_Toc114179887</vt:lpwstr>
      </vt:variant>
      <vt:variant>
        <vt:i4>1245240</vt:i4>
      </vt:variant>
      <vt:variant>
        <vt:i4>101</vt:i4>
      </vt:variant>
      <vt:variant>
        <vt:i4>0</vt:i4>
      </vt:variant>
      <vt:variant>
        <vt:i4>5</vt:i4>
      </vt:variant>
      <vt:variant>
        <vt:lpwstr/>
      </vt:variant>
      <vt:variant>
        <vt:lpwstr>_Toc519260274</vt:lpwstr>
      </vt:variant>
      <vt:variant>
        <vt:i4>1245240</vt:i4>
      </vt:variant>
      <vt:variant>
        <vt:i4>95</vt:i4>
      </vt:variant>
      <vt:variant>
        <vt:i4>0</vt:i4>
      </vt:variant>
      <vt:variant>
        <vt:i4>5</vt:i4>
      </vt:variant>
      <vt:variant>
        <vt:lpwstr/>
      </vt:variant>
      <vt:variant>
        <vt:lpwstr>_Toc519260273</vt:lpwstr>
      </vt:variant>
      <vt:variant>
        <vt:i4>1245240</vt:i4>
      </vt:variant>
      <vt:variant>
        <vt:i4>89</vt:i4>
      </vt:variant>
      <vt:variant>
        <vt:i4>0</vt:i4>
      </vt:variant>
      <vt:variant>
        <vt:i4>5</vt:i4>
      </vt:variant>
      <vt:variant>
        <vt:lpwstr/>
      </vt:variant>
      <vt:variant>
        <vt:lpwstr>_Toc519260272</vt:lpwstr>
      </vt:variant>
      <vt:variant>
        <vt:i4>1245240</vt:i4>
      </vt:variant>
      <vt:variant>
        <vt:i4>83</vt:i4>
      </vt:variant>
      <vt:variant>
        <vt:i4>0</vt:i4>
      </vt:variant>
      <vt:variant>
        <vt:i4>5</vt:i4>
      </vt:variant>
      <vt:variant>
        <vt:lpwstr/>
      </vt:variant>
      <vt:variant>
        <vt:lpwstr>_Toc519260271</vt:lpwstr>
      </vt:variant>
      <vt:variant>
        <vt:i4>1245240</vt:i4>
      </vt:variant>
      <vt:variant>
        <vt:i4>77</vt:i4>
      </vt:variant>
      <vt:variant>
        <vt:i4>0</vt:i4>
      </vt:variant>
      <vt:variant>
        <vt:i4>5</vt:i4>
      </vt:variant>
      <vt:variant>
        <vt:lpwstr/>
      </vt:variant>
      <vt:variant>
        <vt:lpwstr>_Toc519260270</vt:lpwstr>
      </vt:variant>
      <vt:variant>
        <vt:i4>1179704</vt:i4>
      </vt:variant>
      <vt:variant>
        <vt:i4>71</vt:i4>
      </vt:variant>
      <vt:variant>
        <vt:i4>0</vt:i4>
      </vt:variant>
      <vt:variant>
        <vt:i4>5</vt:i4>
      </vt:variant>
      <vt:variant>
        <vt:lpwstr/>
      </vt:variant>
      <vt:variant>
        <vt:lpwstr>_Toc519260269</vt:lpwstr>
      </vt:variant>
      <vt:variant>
        <vt:i4>1179704</vt:i4>
      </vt:variant>
      <vt:variant>
        <vt:i4>65</vt:i4>
      </vt:variant>
      <vt:variant>
        <vt:i4>0</vt:i4>
      </vt:variant>
      <vt:variant>
        <vt:i4>5</vt:i4>
      </vt:variant>
      <vt:variant>
        <vt:lpwstr/>
      </vt:variant>
      <vt:variant>
        <vt:lpwstr>_Toc519260268</vt:lpwstr>
      </vt:variant>
      <vt:variant>
        <vt:i4>1179704</vt:i4>
      </vt:variant>
      <vt:variant>
        <vt:i4>59</vt:i4>
      </vt:variant>
      <vt:variant>
        <vt:i4>0</vt:i4>
      </vt:variant>
      <vt:variant>
        <vt:i4>5</vt:i4>
      </vt:variant>
      <vt:variant>
        <vt:lpwstr/>
      </vt:variant>
      <vt:variant>
        <vt:lpwstr>_Toc519260267</vt:lpwstr>
      </vt:variant>
      <vt:variant>
        <vt:i4>1179704</vt:i4>
      </vt:variant>
      <vt:variant>
        <vt:i4>53</vt:i4>
      </vt:variant>
      <vt:variant>
        <vt:i4>0</vt:i4>
      </vt:variant>
      <vt:variant>
        <vt:i4>5</vt:i4>
      </vt:variant>
      <vt:variant>
        <vt:lpwstr/>
      </vt:variant>
      <vt:variant>
        <vt:lpwstr>_Toc519260266</vt:lpwstr>
      </vt:variant>
      <vt:variant>
        <vt:i4>1179704</vt:i4>
      </vt:variant>
      <vt:variant>
        <vt:i4>47</vt:i4>
      </vt:variant>
      <vt:variant>
        <vt:i4>0</vt:i4>
      </vt:variant>
      <vt:variant>
        <vt:i4>5</vt:i4>
      </vt:variant>
      <vt:variant>
        <vt:lpwstr/>
      </vt:variant>
      <vt:variant>
        <vt:lpwstr>_Toc519260265</vt:lpwstr>
      </vt:variant>
      <vt:variant>
        <vt:i4>1179704</vt:i4>
      </vt:variant>
      <vt:variant>
        <vt:i4>41</vt:i4>
      </vt:variant>
      <vt:variant>
        <vt:i4>0</vt:i4>
      </vt:variant>
      <vt:variant>
        <vt:i4>5</vt:i4>
      </vt:variant>
      <vt:variant>
        <vt:lpwstr/>
      </vt:variant>
      <vt:variant>
        <vt:lpwstr>_Toc519260264</vt:lpwstr>
      </vt:variant>
      <vt:variant>
        <vt:i4>1179704</vt:i4>
      </vt:variant>
      <vt:variant>
        <vt:i4>35</vt:i4>
      </vt:variant>
      <vt:variant>
        <vt:i4>0</vt:i4>
      </vt:variant>
      <vt:variant>
        <vt:i4>5</vt:i4>
      </vt:variant>
      <vt:variant>
        <vt:lpwstr/>
      </vt:variant>
      <vt:variant>
        <vt:lpwstr>_Toc519260263</vt:lpwstr>
      </vt:variant>
      <vt:variant>
        <vt:i4>1179704</vt:i4>
      </vt:variant>
      <vt:variant>
        <vt:i4>29</vt:i4>
      </vt:variant>
      <vt:variant>
        <vt:i4>0</vt:i4>
      </vt:variant>
      <vt:variant>
        <vt:i4>5</vt:i4>
      </vt:variant>
      <vt:variant>
        <vt:lpwstr/>
      </vt:variant>
      <vt:variant>
        <vt:lpwstr>_Toc519260262</vt:lpwstr>
      </vt:variant>
      <vt:variant>
        <vt:i4>1179704</vt:i4>
      </vt:variant>
      <vt:variant>
        <vt:i4>23</vt:i4>
      </vt:variant>
      <vt:variant>
        <vt:i4>0</vt:i4>
      </vt:variant>
      <vt:variant>
        <vt:i4>5</vt:i4>
      </vt:variant>
      <vt:variant>
        <vt:lpwstr/>
      </vt:variant>
      <vt:variant>
        <vt:lpwstr>_Toc519260261</vt:lpwstr>
      </vt:variant>
      <vt:variant>
        <vt:i4>1179704</vt:i4>
      </vt:variant>
      <vt:variant>
        <vt:i4>17</vt:i4>
      </vt:variant>
      <vt:variant>
        <vt:i4>0</vt:i4>
      </vt:variant>
      <vt:variant>
        <vt:i4>5</vt:i4>
      </vt:variant>
      <vt:variant>
        <vt:lpwstr/>
      </vt:variant>
      <vt:variant>
        <vt:lpwstr>_Toc519260260</vt:lpwstr>
      </vt:variant>
      <vt:variant>
        <vt:i4>1114168</vt:i4>
      </vt:variant>
      <vt:variant>
        <vt:i4>11</vt:i4>
      </vt:variant>
      <vt:variant>
        <vt:i4>0</vt:i4>
      </vt:variant>
      <vt:variant>
        <vt:i4>5</vt:i4>
      </vt:variant>
      <vt:variant>
        <vt:lpwstr/>
      </vt:variant>
      <vt:variant>
        <vt:lpwstr>_Toc519260259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xcx1</dc:creator>
  <cp:keywords/>
  <dc:description/>
  <cp:lastModifiedBy>Gartling, Gary Joseph</cp:lastModifiedBy>
  <cp:revision>2</cp:revision>
  <cp:lastPrinted>2021-11-19T17:55:00Z</cp:lastPrinted>
  <dcterms:created xsi:type="dcterms:W3CDTF">2021-12-14T20:35:00Z</dcterms:created>
  <dcterms:modified xsi:type="dcterms:W3CDTF">2021-12-14T20:35:00Z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7th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51d1ffc7-6bb3-3765-94c3-88607a6e8ddc</vt:lpwstr>
  </property>
  <property fmtid="{D5CDD505-2E9C-101B-9397-08002B2CF9AE}" pid="24" name="Mendeley Citation Style_1">
    <vt:lpwstr>http://www.zotero.org/styles/apa</vt:lpwstr>
  </property>
  <property fmtid="{D5CDD505-2E9C-101B-9397-08002B2CF9AE}" pid="25" name="FileId">
    <vt:lpwstr>847114</vt:lpwstr>
  </property>
  <property fmtid="{D5CDD505-2E9C-101B-9397-08002B2CF9AE}" pid="26" name="InsertAsFootnote">
    <vt:lpwstr>False</vt:lpwstr>
  </property>
  <property fmtid="{D5CDD505-2E9C-101B-9397-08002B2CF9AE}" pid="27" name="ProjectId">
    <vt:lpwstr>-1</vt:lpwstr>
  </property>
  <property fmtid="{D5CDD505-2E9C-101B-9397-08002B2CF9AE}" pid="28" name="StyleId">
    <vt:lpwstr>http://www.zotero.org/styles/vancouver</vt:lpwstr>
  </property>
  <property fmtid="{D5CDD505-2E9C-101B-9397-08002B2CF9AE}" pid="29" name="ContentTypeId">
    <vt:lpwstr>0x0101007E46B35BABCF0D4A847AADC82FF11863</vt:lpwstr>
  </property>
  <property fmtid="{D5CDD505-2E9C-101B-9397-08002B2CF9AE}" pid="30" name="ZOTERO_PREF_1">
    <vt:lpwstr>&lt;data data-version="3" zotero-version="5.0.96.3"&gt;&lt;session id="cN3eXgV6"/&gt;&lt;style id="http://www.zotero.org/styles/american-medical-association" hasBibliography="1" bibliographyStyleHasBeenSet="1"/&gt;&lt;prefs&gt;&lt;pref name="fieldType" value="Field"/&gt;&lt;pref name="do</vt:lpwstr>
  </property>
  <property fmtid="{D5CDD505-2E9C-101B-9397-08002B2CF9AE}" pid="31" name="ZOTERO_PREF_2">
    <vt:lpwstr>ntAskDelayCitationUpdates" value="true"/&gt;&lt;/prefs&gt;&lt;/data&gt;</vt:lpwstr>
  </property>
</Properties>
</file>