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media/rId20.png" ContentType="image/png"/>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2022</w:t>
      </w:r>
      <w:r>
        <w:t xml:space="preserve"> </w:t>
      </w:r>
      <w:r>
        <w:t xml:space="preserve">Open</w:t>
      </w:r>
      <w:r>
        <w:t xml:space="preserve"> </w:t>
      </w:r>
      <w:r>
        <w:t xml:space="preserve">Scholarship</w:t>
      </w:r>
      <w:r>
        <w:t xml:space="preserve"> </w:t>
      </w:r>
      <w:r>
        <w:t xml:space="preserve">and</w:t>
      </w:r>
      <w:r>
        <w:t xml:space="preserve"> </w:t>
      </w:r>
      <w:r>
        <w:t xml:space="preserve">Research</w:t>
      </w:r>
      <w:r>
        <w:t xml:space="preserve"> </w:t>
      </w:r>
      <w:r>
        <w:t xml:space="preserve">Impact</w:t>
      </w:r>
      <w:r>
        <w:t xml:space="preserve"> </w:t>
      </w:r>
      <w:r>
        <w:t xml:space="preserve">Challenge</w:t>
      </w:r>
    </w:p>
    <w:p>
      <w:pPr>
        <w:pStyle w:val="Subtitle"/>
      </w:pPr>
      <w:r>
        <w:t xml:space="preserve">Challenge</w:t>
      </w:r>
      <w:r>
        <w:t xml:space="preserve"> </w:t>
      </w:r>
      <w:r>
        <w:t xml:space="preserve">Overview</w:t>
      </w:r>
    </w:p>
    <w:p>
      <w:pPr>
        <w:pStyle w:val="Author"/>
      </w:pPr>
      <w:r>
        <w:t xml:space="preserve">Health</w:t>
      </w:r>
      <w:r>
        <w:t xml:space="preserve"> </w:t>
      </w:r>
      <w:r>
        <w:t xml:space="preserve">Sciences</w:t>
      </w:r>
      <w:r>
        <w:t xml:space="preserve"> </w:t>
      </w:r>
      <w:r>
        <w:t xml:space="preserve">Library</w:t>
      </w:r>
      <w:r>
        <w:t xml:space="preserve"> </w:t>
      </w:r>
      <w:r>
        <w:t xml:space="preserve">System</w:t>
      </w:r>
    </w:p>
    <w:p>
      <w:pPr>
        <w:pStyle w:val="Author"/>
      </w:pPr>
      <w:r>
        <w:t xml:space="preserve">University</w:t>
      </w:r>
      <w:r>
        <w:t xml:space="preserve"> </w:t>
      </w:r>
      <w:r>
        <w:t xml:space="preserve">Library</w:t>
      </w:r>
      <w:r>
        <w:t xml:space="preserve"> </w:t>
      </w:r>
      <w:r>
        <w:t xml:space="preserve">System</w:t>
      </w:r>
    </w:p>
    <w:p>
      <w:pPr>
        <w:pStyle w:val="Author"/>
      </w:pPr>
      <w:r>
        <w:t xml:space="preserve">University</w:t>
      </w:r>
      <w:r>
        <w:t xml:space="preserve"> </w:t>
      </w:r>
      <w:r>
        <w:t xml:space="preserve">of</w:t>
      </w:r>
      <w:r>
        <w:t xml:space="preserve"> </w:t>
      </w:r>
      <w:r>
        <w:t xml:space="preserve">Pittsburgh</w:t>
      </w:r>
    </w:p>
    <w:p>
      <w:pPr>
        <w:pStyle w:val="FirstParagraph"/>
      </w:pPr>
      <w:r>
        <w:drawing>
          <wp:inline>
            <wp:extent cx="5334000" cy="1728611"/>
            <wp:effectExtent b="0" l="0" r="0" t="0"/>
            <wp:docPr descr="" title="2022 Open Scholarship and Research Impact Challenge banner" id="21" name="Picture"/>
            <a:graphic>
              <a:graphicData uri="http://schemas.openxmlformats.org/drawingml/2006/picture">
                <pic:pic>
                  <pic:nvPicPr>
                    <pic:cNvPr descr="assets/Impact_Challenge_2.png" id="22" name="Picture"/>
                    <pic:cNvPicPr>
                      <a:picLocks noChangeArrowheads="1" noChangeAspect="1"/>
                    </pic:cNvPicPr>
                  </pic:nvPicPr>
                  <pic:blipFill>
                    <a:blip r:embed="rId20"/>
                    <a:stretch>
                      <a:fillRect/>
                    </a:stretch>
                  </pic:blipFill>
                  <pic:spPr bwMode="auto">
                    <a:xfrm>
                      <a:off x="0" y="0"/>
                      <a:ext cx="5334000" cy="1728611"/>
                    </a:xfrm>
                    <a:prstGeom prst="rect">
                      <a:avLst/>
                    </a:prstGeom>
                    <a:noFill/>
                    <a:ln w="9525">
                      <a:noFill/>
                      <a:headEnd/>
                      <a:tailEnd/>
                    </a:ln>
                  </pic:spPr>
                </pic:pic>
              </a:graphicData>
            </a:graphic>
          </wp:inline>
        </w:drawing>
      </w:r>
    </w:p>
    <w:bookmarkStart w:id="23" w:name="challenge-details"/>
    <w:p>
      <w:pPr>
        <w:pStyle w:val="Heading2"/>
      </w:pPr>
      <w:r>
        <w:t xml:space="preserve">Challenge Details</w:t>
      </w:r>
    </w:p>
    <w:p>
      <w:pPr>
        <w:pStyle w:val="FirstParagraph"/>
      </w:pPr>
      <w:r>
        <w:t xml:space="preserve">Welcome to the Open Scholarship and Research Impact Challenge! This two-week event from March 28 - April 8, 2022, includes a wide range of learning opportunities and activities that will give you the practical tools to make your research more accessible, more reproducible, more connected to the public welfare, and more in line with your personal values.</w:t>
      </w:r>
    </w:p>
    <w:p>
      <w:pPr>
        <w:pStyle w:val="BodyText"/>
      </w:pPr>
      <w:r>
        <w:t xml:space="preserve">Fill out the registration form below to get started.</w:t>
      </w:r>
      <w:r>
        <w:t xml:space="preserve"> </w:t>
      </w:r>
      <w:r>
        <w:rPr>
          <w:bCs/>
          <w:b/>
        </w:rPr>
        <w:t xml:space="preserve">If you register and complete one activity, that will give you an extra chance at winning a gift card!</w:t>
      </w:r>
      <w:r>
        <w:t xml:space="preserve"> </w:t>
      </w:r>
      <w:r>
        <w:t xml:space="preserve">If you would like to attend the live kickoff workshop, separate registration is required. [link removed]</w:t>
      </w:r>
    </w:p>
    <w:p>
      <w:pPr>
        <w:pStyle w:val="BodyText"/>
      </w:pPr>
      <w:r>
        <w:t xml:space="preserve">You may decide to do all of the activities or choose the ones that are the most relevant to you. They may also be completed in any order. The more activities you submit, the more chances you have to win!</w:t>
      </w:r>
    </w:p>
    <w:p>
      <w:pPr>
        <w:numPr>
          <w:ilvl w:val="0"/>
          <w:numId w:val="1001"/>
        </w:numPr>
        <w:pStyle w:val="Compact"/>
      </w:pPr>
      <w:r>
        <w:t xml:space="preserve">Day 1 (March 28): Make Metrics Meaningful: Impact Challenge Kickoff Workshop</w:t>
      </w:r>
    </w:p>
    <w:p>
      <w:pPr>
        <w:numPr>
          <w:ilvl w:val="0"/>
          <w:numId w:val="1001"/>
        </w:numPr>
        <w:pStyle w:val="Compact"/>
      </w:pPr>
      <w:r>
        <w:t xml:space="preserve">Day 2 (March 29): Research Metrics</w:t>
      </w:r>
    </w:p>
    <w:p>
      <w:pPr>
        <w:numPr>
          <w:ilvl w:val="0"/>
          <w:numId w:val="1001"/>
        </w:numPr>
        <w:pStyle w:val="Compact"/>
      </w:pPr>
      <w:r>
        <w:t xml:space="preserve">Day 3 (March 30): Online Researcher Profiles</w:t>
      </w:r>
    </w:p>
    <w:p>
      <w:pPr>
        <w:numPr>
          <w:ilvl w:val="0"/>
          <w:numId w:val="1001"/>
        </w:numPr>
        <w:pStyle w:val="Compact"/>
      </w:pPr>
      <w:r>
        <w:t xml:space="preserve">Day 4 (March 31): Open Access</w:t>
      </w:r>
    </w:p>
    <w:p>
      <w:pPr>
        <w:numPr>
          <w:ilvl w:val="0"/>
          <w:numId w:val="1001"/>
        </w:numPr>
        <w:pStyle w:val="Compact"/>
      </w:pPr>
      <w:r>
        <w:t xml:space="preserve">Day 5 (April 1): Preprints</w:t>
      </w:r>
    </w:p>
    <w:p>
      <w:pPr>
        <w:numPr>
          <w:ilvl w:val="0"/>
          <w:numId w:val="1001"/>
        </w:numPr>
        <w:pStyle w:val="Compact"/>
      </w:pPr>
      <w:r>
        <w:t xml:space="preserve">Day 6 (April 4): Copyright &amp; Author Rights</w:t>
      </w:r>
    </w:p>
    <w:p>
      <w:pPr>
        <w:numPr>
          <w:ilvl w:val="0"/>
          <w:numId w:val="1001"/>
        </w:numPr>
        <w:pStyle w:val="Compact"/>
      </w:pPr>
      <w:r>
        <w:t xml:space="preserve">Day 7 (April 5): DOIs</w:t>
      </w:r>
    </w:p>
    <w:p>
      <w:pPr>
        <w:numPr>
          <w:ilvl w:val="0"/>
          <w:numId w:val="1001"/>
        </w:numPr>
        <w:pStyle w:val="Compact"/>
      </w:pPr>
      <w:r>
        <w:t xml:space="preserve">Day 8 (April 6): Repositories</w:t>
      </w:r>
    </w:p>
    <w:p>
      <w:pPr>
        <w:numPr>
          <w:ilvl w:val="0"/>
          <w:numId w:val="1001"/>
        </w:numPr>
        <w:pStyle w:val="Compact"/>
      </w:pPr>
      <w:r>
        <w:t xml:space="preserve">Day 9 (April 7): Data Management Plans</w:t>
      </w:r>
    </w:p>
    <w:p>
      <w:pPr>
        <w:numPr>
          <w:ilvl w:val="0"/>
          <w:numId w:val="1001"/>
        </w:numPr>
        <w:pStyle w:val="Compact"/>
      </w:pPr>
      <w:r>
        <w:t xml:space="preserve">Day 10 (April 8): Open Educational Resources (OERs)</w:t>
      </w:r>
    </w:p>
    <w:p>
      <w:pPr>
        <w:pStyle w:val="FirstParagraph"/>
      </w:pPr>
      <w:r>
        <w:t xml:space="preserve">Thank you, and we’re glad to have you join us!</w:t>
      </w:r>
    </w:p>
    <w:bookmarkEnd w:id="23"/>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numId="1000">
    <w:abstractNumId w:val="990"/>
  </w:num>
  <w:num w:numId="100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rsids>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savePreviewPicture/>
  <m:mathPr>
    <m:mathFont m:val="Cambria Math"/>
    <m:brkBin m:val="before"/>
    <m:brkBinSub m:val="--"/>
    <m:smallFrac m:val="0"/>
    <m:dispDef/>
    <m:lMargin m:val="0"/>
    <m:rMargin m:val="0"/>
    <m:wrapRight/>
    <m:intLim m:val="subSup"/>
    <m:naryLim m:val="undOvr"/>
  </m:mathPr>
  <w:themeFontLang w:val="en-U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 w:type="paragraph">
    <w:name w:val="Abstract"/>
    <w:basedOn w:val="Normal"/>
    <w:next w:val="BodyText"/>
    <w:qFormat/>
    <w:pPr>
      <w:keepNext/>
      <w:keepLines/>
      <w:spacing w:after="300" w:before="3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vAlign w:val="bottom"/>
        <w:tcBorders>
          <w:bottom w:val="single"/>
        </w:tcBorders>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shd w:val="clear" w:fill="f1f3f5"/>
    </w:pPr>
  </w:style>
  <w:style w:type="character" w:customStyle="1" w:styleId="KeywordTok">
    <w:name w:val="KeywordTok"/>
    <w:basedOn w:val="VerbatimChar"/>
    <w:rPr>
      <w:color w:val="003b4f"/>
      <w:shd w:val="clear" w:fill="f1f3f5"/>
    </w:rPr>
  </w:style>
  <w:style w:type="character" w:customStyle="1" w:styleId="DataTypeTok">
    <w:name w:val="DataTypeTok"/>
    <w:basedOn w:val="VerbatimChar"/>
    <w:rPr>
      <w:color w:val="ad0000"/>
      <w:shd w:val="clear" w:fill="f1f3f5"/>
    </w:rPr>
  </w:style>
  <w:style w:type="character" w:customStyle="1" w:styleId="DecValTok">
    <w:name w:val="DecValTok"/>
    <w:basedOn w:val="VerbatimChar"/>
    <w:rPr>
      <w:color w:val="ad0000"/>
      <w:shd w:val="clear" w:fill="f1f3f5"/>
    </w:rPr>
  </w:style>
  <w:style w:type="character" w:customStyle="1" w:styleId="BaseNTok">
    <w:name w:val="BaseNTok"/>
    <w:basedOn w:val="VerbatimChar"/>
    <w:rPr>
      <w:color w:val="ad0000"/>
      <w:shd w:val="clear" w:fill="f1f3f5"/>
    </w:rPr>
  </w:style>
  <w:style w:type="character" w:customStyle="1" w:styleId="FloatTok">
    <w:name w:val="FloatTok"/>
    <w:basedOn w:val="VerbatimChar"/>
    <w:rPr>
      <w:color w:val="ad0000"/>
      <w:shd w:val="clear" w:fill="f1f3f5"/>
    </w:rPr>
  </w:style>
  <w:style w:type="character" w:customStyle="1" w:styleId="ConstantTok">
    <w:name w:val="ConstantTok"/>
    <w:basedOn w:val="VerbatimChar"/>
    <w:rPr>
      <w:color w:val="8f5902"/>
      <w:shd w:val="clear" w:fill="f1f3f5"/>
    </w:rPr>
  </w:style>
  <w:style w:type="character" w:customStyle="1" w:styleId="CharTok">
    <w:name w:val="CharTok"/>
    <w:basedOn w:val="VerbatimChar"/>
    <w:rPr>
      <w:color w:val="20794d"/>
      <w:shd w:val="clear" w:fill="f1f3f5"/>
    </w:rPr>
  </w:style>
  <w:style w:type="character" w:customStyle="1" w:styleId="SpecialCharTok">
    <w:name w:val="SpecialCharTok"/>
    <w:basedOn w:val="VerbatimChar"/>
    <w:rPr>
      <w:color w:val="5e5e5e"/>
      <w:shd w:val="clear" w:fill="f1f3f5"/>
    </w:rPr>
  </w:style>
  <w:style w:type="character" w:customStyle="1" w:styleId="StringTok">
    <w:name w:val="StringTok"/>
    <w:basedOn w:val="VerbatimChar"/>
    <w:rPr>
      <w:color w:val="20794d"/>
      <w:shd w:val="clear" w:fill="f1f3f5"/>
    </w:rPr>
  </w:style>
  <w:style w:type="character" w:customStyle="1" w:styleId="VerbatimStringTok">
    <w:name w:val="VerbatimStringTok"/>
    <w:basedOn w:val="VerbatimChar"/>
    <w:rPr>
      <w:color w:val="20794d"/>
      <w:shd w:val="clear" w:fill="f1f3f5"/>
    </w:rPr>
  </w:style>
  <w:style w:type="character" w:customStyle="1" w:styleId="SpecialStringTok">
    <w:name w:val="SpecialStringTok"/>
    <w:basedOn w:val="VerbatimChar"/>
    <w:rPr>
      <w:color w:val="20794d"/>
      <w:shd w:val="clear" w:fill="f1f3f5"/>
    </w:rPr>
  </w:style>
  <w:style w:type="character" w:customStyle="1" w:styleId="ImportTok">
    <w:name w:val="ImportTok"/>
    <w:basedOn w:val="VerbatimChar"/>
    <w:rPr>
      <w:color w:val="00769e"/>
      <w:shd w:val="clear" w:fill="f1f3f5"/>
    </w:rPr>
  </w:style>
  <w:style w:type="character" w:customStyle="1" w:styleId="CommentTok">
    <w:name w:val="CommentTok"/>
    <w:basedOn w:val="VerbatimChar"/>
    <w:rPr>
      <w:color w:val="5e5e5e"/>
      <w:shd w:val="clear" w:fill="f1f3f5"/>
    </w:rPr>
  </w:style>
  <w:style w:type="character" w:customStyle="1" w:styleId="DocumentationTok">
    <w:name w:val="DocumentationTok"/>
    <w:basedOn w:val="VerbatimChar"/>
    <w:rPr>
      <w:color w:val="5e5e5e"/>
      <w:shd w:val="clear" w:fill="f1f3f5"/>
      <w:i/>
    </w:rPr>
  </w:style>
  <w:style w:type="character" w:customStyle="1" w:styleId="AnnotationTok">
    <w:name w:val="AnnotationTok"/>
    <w:basedOn w:val="VerbatimChar"/>
    <w:rPr>
      <w:color w:val="5e5e5e"/>
      <w:shd w:val="clear" w:fill="f1f3f5"/>
    </w:rPr>
  </w:style>
  <w:style w:type="character" w:customStyle="1" w:styleId="CommentVarTok">
    <w:name w:val="CommentVarTok"/>
    <w:basedOn w:val="VerbatimChar"/>
    <w:rPr>
      <w:color w:val="5e5e5e"/>
      <w:shd w:val="clear" w:fill="f1f3f5"/>
      <w:i/>
    </w:rPr>
  </w:style>
  <w:style w:type="character" w:customStyle="1" w:styleId="OtherTok">
    <w:name w:val="OtherTok"/>
    <w:basedOn w:val="VerbatimChar"/>
    <w:rPr>
      <w:color w:val="003b4f"/>
      <w:shd w:val="clear" w:fill="f1f3f5"/>
    </w:rPr>
  </w:style>
  <w:style w:type="character" w:customStyle="1" w:styleId="FunctionTok">
    <w:name w:val="FunctionTok"/>
    <w:basedOn w:val="VerbatimChar"/>
    <w:rPr>
      <w:color w:val="4758ab"/>
      <w:shd w:val="clear" w:fill="f1f3f5"/>
    </w:rPr>
  </w:style>
  <w:style w:type="character" w:customStyle="1" w:styleId="VariableTok">
    <w:name w:val="VariableTok"/>
    <w:basedOn w:val="VerbatimChar"/>
    <w:rPr>
      <w:color w:val="111111"/>
      <w:shd w:val="clear" w:fill="f1f3f5"/>
    </w:rPr>
  </w:style>
  <w:style w:type="character" w:customStyle="1" w:styleId="ControlFlowTok">
    <w:name w:val="ControlFlowTok"/>
    <w:basedOn w:val="VerbatimChar"/>
    <w:rPr>
      <w:color w:val="003b4f"/>
      <w:shd w:val="clear" w:fill="f1f3f5"/>
    </w:rPr>
  </w:style>
  <w:style w:type="character" w:customStyle="1" w:styleId="OperatorTok">
    <w:name w:val="OperatorTok"/>
    <w:basedOn w:val="VerbatimChar"/>
    <w:rPr>
      <w:color w:val="5e5e5e"/>
      <w:shd w:val="clear" w:fill="f1f3f5"/>
    </w:rPr>
  </w:style>
  <w:style w:type="character" w:customStyle="1" w:styleId="BuiltInTok">
    <w:name w:val="BuiltInTok"/>
    <w:basedOn w:val="VerbatimChar"/>
    <w:rPr>
      <w:color w:val="003b4f"/>
      <w:shd w:val="clear" w:fill="f1f3f5"/>
    </w:rPr>
  </w:style>
  <w:style w:type="character" w:customStyle="1" w:styleId="ExtensionTok">
    <w:name w:val="ExtensionTok"/>
    <w:basedOn w:val="VerbatimChar"/>
    <w:rPr>
      <w:color w:val="003b4f"/>
      <w:shd w:val="clear" w:fill="f1f3f5"/>
    </w:rPr>
  </w:style>
  <w:style w:type="character" w:customStyle="1" w:styleId="PreprocessorTok">
    <w:name w:val="PreprocessorTok"/>
    <w:basedOn w:val="VerbatimChar"/>
    <w:rPr>
      <w:color w:val="ad0000"/>
      <w:shd w:val="clear" w:fill="f1f3f5"/>
    </w:rPr>
  </w:style>
  <w:style w:type="character" w:customStyle="1" w:styleId="AttributeTok">
    <w:name w:val="AttributeTok"/>
    <w:basedOn w:val="VerbatimChar"/>
    <w:rPr>
      <w:color w:val="657422"/>
      <w:shd w:val="clear" w:fill="f1f3f5"/>
    </w:rPr>
  </w:style>
  <w:style w:type="character" w:customStyle="1" w:styleId="RegionMarkerTok">
    <w:name w:val="RegionMarkerTok"/>
    <w:basedOn w:val="VerbatimChar"/>
    <w:rPr>
      <w:color w:val="003b4f"/>
      <w:shd w:val="clear" w:fill="f1f3f5"/>
    </w:rPr>
  </w:style>
  <w:style w:type="character" w:customStyle="1" w:styleId="InformationTok">
    <w:name w:val="InformationTok"/>
    <w:basedOn w:val="VerbatimChar"/>
    <w:rPr>
      <w:color w:val="5e5e5e"/>
      <w:shd w:val="clear" w:fill="f1f3f5"/>
    </w:rPr>
  </w:style>
  <w:style w:type="character" w:customStyle="1" w:styleId="WarningTok">
    <w:name w:val="WarningTok"/>
    <w:basedOn w:val="VerbatimChar"/>
    <w:rPr>
      <w:color w:val="5e5e5e"/>
      <w:shd w:val="clear" w:fill="f1f3f5"/>
      <w:i/>
    </w:rPr>
  </w:style>
  <w:style w:type="character" w:customStyle="1" w:styleId="AlertTok">
    <w:name w:val="AlertTok"/>
    <w:basedOn w:val="VerbatimChar"/>
    <w:rPr>
      <w:color w:val="ad0000"/>
      <w:shd w:val="clear" w:fill="f1f3f5"/>
    </w:rPr>
  </w:style>
  <w:style w:type="character" w:customStyle="1" w:styleId="ErrorTok">
    <w:name w:val="ErrorTok"/>
    <w:basedOn w:val="VerbatimChar"/>
    <w:rPr>
      <w:color w:val="ad0000"/>
      <w:shd w:val="clear" w:fill="f1f3f5"/>
    </w:rPr>
  </w:style>
  <w:style w:type="character" w:customStyle="1" w:styleId="NormalTok">
    <w:name w:val="NormalTok"/>
    <w:basedOn w:val="VerbatimChar"/>
    <w:rPr>
      <w:color w:val="003b4f"/>
      <w:shd w:val="clear" w:fill="f1f3f5"/>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image" Id="rId20" Target="media/rId20.png"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2022 Open Scholarship and Research Impact Challenge</dc:title>
  <dc:creator>Health Sciences Library System; University Library System; University of Pittsburgh</dc:creator>
  <cp:keywords/>
  <dcterms:created xsi:type="dcterms:W3CDTF">2022-05-24T19:20:52Z</dcterms:created>
  <dcterms:modified xsi:type="dcterms:W3CDTF">2022-05-24T19:20:52Z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s">
    <vt:lpwstr/>
  </property>
  <property fmtid="{D5CDD505-2E9C-101B-9397-08002B2CF9AE}" pid="3" name="editor">
    <vt:lpwstr>visual</vt:lpwstr>
  </property>
  <property fmtid="{D5CDD505-2E9C-101B-9397-08002B2CF9AE}" pid="4" name="header-includes">
    <vt:lpwstr/>
  </property>
  <property fmtid="{D5CDD505-2E9C-101B-9397-08002B2CF9AE}" pid="5" name="include-after">
    <vt:lpwstr/>
  </property>
  <property fmtid="{D5CDD505-2E9C-101B-9397-08002B2CF9AE}" pid="6" name="include-before">
    <vt:lpwstr/>
  </property>
  <property fmtid="{D5CDD505-2E9C-101B-9397-08002B2CF9AE}" pid="7" name="subtitle">
    <vt:lpwstr>Challenge Overview</vt:lpwstr>
  </property>
  <property fmtid="{D5CDD505-2E9C-101B-9397-08002B2CF9AE}" pid="8" name="toc-title">
    <vt:lpwstr>Table of contents</vt:lpwstr>
  </property>
</Properties>
</file>