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Day</w:t>
      </w:r>
      <w:r>
        <w:t xml:space="preserve"> </w:t>
      </w:r>
      <w:r>
        <w:t xml:space="preserve">4:</w:t>
      </w:r>
      <w:r>
        <w:t xml:space="preserve"> </w:t>
      </w:r>
      <w:r>
        <w:t xml:space="preserve">Open</w:t>
      </w:r>
      <w:r>
        <w:t xml:space="preserve"> </w:t>
      </w:r>
      <w:r>
        <w:t xml:space="preserve">Access</w:t>
      </w:r>
    </w:p>
    <w:p>
      <w:pPr>
        <w:pStyle w:val="Subtitle"/>
      </w:pPr>
      <w:r>
        <w:t xml:space="preserve">2022</w:t>
      </w:r>
      <w:r>
        <w:t xml:space="preserve"> </w:t>
      </w:r>
      <w:r>
        <w:t xml:space="preserve">Open</w:t>
      </w:r>
      <w:r>
        <w:t xml:space="preserve"> </w:t>
      </w:r>
      <w:r>
        <w:t xml:space="preserve">Scholarship</w:t>
      </w:r>
      <w:r>
        <w:t xml:space="preserve"> </w:t>
      </w:r>
      <w:r>
        <w:t xml:space="preserve">and</w:t>
      </w:r>
      <w:r>
        <w:t xml:space="preserve"> </w:t>
      </w:r>
      <w:r>
        <w:t xml:space="preserve">Research</w:t>
      </w:r>
      <w:r>
        <w:t xml:space="preserve"> </w:t>
      </w:r>
      <w:r>
        <w:t xml:space="preserve">Impact</w:t>
      </w:r>
      <w:r>
        <w:t xml:space="preserve"> </w:t>
      </w:r>
      <w:r>
        <w:t xml:space="preserve">Challenge</w:t>
      </w:r>
    </w:p>
    <w:p>
      <w:pPr>
        <w:pStyle w:val="Author"/>
      </w:pPr>
      <w:r>
        <w:t xml:space="preserve">Health</w:t>
      </w:r>
      <w:r>
        <w:t xml:space="preserve"> </w:t>
      </w:r>
      <w:r>
        <w:t xml:space="preserve">Sciences</w:t>
      </w:r>
      <w:r>
        <w:t xml:space="preserve"> </w:t>
      </w:r>
      <w:r>
        <w:t xml:space="preserve">Library</w:t>
      </w:r>
      <w:r>
        <w:t xml:space="preserve"> </w:t>
      </w:r>
      <w:r>
        <w:t xml:space="preserve">System</w:t>
      </w:r>
    </w:p>
    <w:p>
      <w:pPr>
        <w:pStyle w:val="Author"/>
      </w:pPr>
      <w:r>
        <w:t xml:space="preserve">University</w:t>
      </w:r>
      <w:r>
        <w:t xml:space="preserve"> </w:t>
      </w:r>
      <w:r>
        <w:t xml:space="preserve">Library</w:t>
      </w:r>
      <w:r>
        <w:t xml:space="preserve"> </w:t>
      </w:r>
      <w:r>
        <w:t xml:space="preserve">System</w:t>
      </w:r>
    </w:p>
    <w:p>
      <w:pPr>
        <w:pStyle w:val="Author"/>
      </w:pPr>
      <w:r>
        <w:t xml:space="preserve">University</w:t>
      </w:r>
      <w:r>
        <w:t xml:space="preserve"> </w:t>
      </w:r>
      <w:r>
        <w:t xml:space="preserve">of</w:t>
      </w:r>
      <w:r>
        <w:t xml:space="preserve"> </w:t>
      </w:r>
      <w:r>
        <w:t xml:space="preserve">Pittsburgh</w:t>
      </w:r>
    </w:p>
    <w:bookmarkStart w:id="20" w:name="introduction"/>
    <w:p>
      <w:pPr>
        <w:pStyle w:val="Heading2"/>
      </w:pPr>
      <w:r>
        <w:t xml:space="preserve">Introduction</w:t>
      </w:r>
    </w:p>
    <w:p>
      <w:pPr>
        <w:pStyle w:val="FirstParagraph"/>
      </w:pPr>
      <w:r>
        <w:t xml:space="preserve">Are you curious about what open access is and how it works? Today, we will provide an overview of open access publishing models, policies, and ways to locate relevant open access journals within your field. Additionally, we will introduce some resources to assess the quality of open access journals in order to avoid predatory publishers.</w:t>
      </w:r>
    </w:p>
    <w:bookmarkEnd w:id="20"/>
    <w:bookmarkStart w:id="28" w:name="activity"/>
    <w:p>
      <w:pPr>
        <w:pStyle w:val="Heading2"/>
      </w:pPr>
      <w:r>
        <w:t xml:space="preserve">Activity</w:t>
      </w:r>
    </w:p>
    <w:p>
      <w:pPr>
        <w:pStyle w:val="FirstParagraph"/>
      </w:pPr>
      <w:r>
        <w:t xml:space="preserve">If you need help completing these activities, review the information in the</w:t>
      </w:r>
      <w:r>
        <w:t xml:space="preserve"> </w:t>
      </w:r>
      <w:hyperlink w:anchor="learning-content">
        <w:r>
          <w:rPr>
            <w:rStyle w:val="Hyperlink"/>
          </w:rPr>
          <w:t xml:space="preserve">Learning Content</w:t>
        </w:r>
      </w:hyperlink>
      <w:r>
        <w:t xml:space="preserve"> </w:t>
      </w:r>
      <w:r>
        <w:t xml:space="preserve">section below.</w:t>
      </w:r>
    </w:p>
    <w:p>
      <w:pPr>
        <w:pStyle w:val="BodyText"/>
      </w:pPr>
      <w:r>
        <w:t xml:space="preserve">Please fill out this form after completing 1 or more of today’s activities. [link removed] The more daily tasks you complete, the larger impact you may have on your own research/scholarship and the more chances you will have to win a prize for participation in the 2022 Impact Challenge.</w:t>
      </w:r>
    </w:p>
    <w:bookmarkStart w:id="25" w:name="activity-1"/>
    <w:p>
      <w:pPr>
        <w:pStyle w:val="Heading3"/>
      </w:pPr>
      <w:r>
        <w:t xml:space="preserve">Activity 1</w:t>
      </w:r>
    </w:p>
    <w:p>
      <w:pPr>
        <w:pStyle w:val="FirstParagraph"/>
      </w:pPr>
      <w:r>
        <w:rPr>
          <w:bCs/>
          <w:b/>
        </w:rPr>
        <w:t xml:space="preserve">Option A:</w:t>
      </w:r>
      <w:r>
        <w:t xml:space="preserve"> </w:t>
      </w:r>
      <w:r>
        <w:t xml:space="preserve">Identify an</w:t>
      </w:r>
      <w:r>
        <w:t xml:space="preserve"> </w:t>
      </w:r>
      <w:r>
        <w:rPr>
          <w:bCs/>
          <w:b/>
        </w:rPr>
        <w:t xml:space="preserve">open access journal</w:t>
      </w:r>
      <w:r>
        <w:t xml:space="preserve"> </w:t>
      </w:r>
      <w:r>
        <w:t xml:space="preserve">in your field or a field of interest.</w:t>
      </w:r>
    </w:p>
    <w:p>
      <w:pPr>
        <w:numPr>
          <w:ilvl w:val="0"/>
          <w:numId w:val="1001"/>
        </w:numPr>
        <w:pStyle w:val="Compact"/>
      </w:pPr>
      <w:r>
        <w:t xml:space="preserve">Use the</w:t>
      </w:r>
      <w:r>
        <w:t xml:space="preserve"> </w:t>
      </w:r>
      <w:hyperlink r:id="rId21">
        <w:r>
          <w:rPr>
            <w:rStyle w:val="Hyperlink"/>
          </w:rPr>
          <w:t xml:space="preserve">Directory of Open Access Journals</w:t>
        </w:r>
      </w:hyperlink>
      <w:r>
        <w:t xml:space="preserve">(DOAJ) to search for journals and lookup information about them. If you’re not sure where to start, try using the</w:t>
      </w:r>
      <w:r>
        <w:t xml:space="preserve"> </w:t>
      </w:r>
      <w:hyperlink r:id="rId22">
        <w:r>
          <w:rPr>
            <w:rStyle w:val="Hyperlink"/>
          </w:rPr>
          <w:t xml:space="preserve">Open Journal Matcher</w:t>
        </w:r>
      </w:hyperlink>
      <w:r>
        <w:t xml:space="preserve">, a tool that matches the title and abstract of your manuscript to potentially relevant journals in DOAJ.</w:t>
      </w:r>
    </w:p>
    <w:p>
      <w:pPr>
        <w:numPr>
          <w:ilvl w:val="0"/>
          <w:numId w:val="1001"/>
        </w:numPr>
        <w:pStyle w:val="Compact"/>
      </w:pPr>
      <w:r>
        <w:t xml:space="preserve">Include the URL to the journal’s DOAJ record and a brief explanation of how open the journal is in the participation form. [link removed] Consider the</w:t>
      </w:r>
      <w:r>
        <w:t xml:space="preserve"> </w:t>
      </w:r>
      <w:hyperlink r:id="rId23">
        <w:r>
          <w:rPr>
            <w:rStyle w:val="Hyperlink"/>
          </w:rPr>
          <w:t xml:space="preserve">HowOpenIsIt? guide</w:t>
        </w:r>
      </w:hyperlink>
      <w:r>
        <w:t xml:space="preserve"> </w:t>
      </w:r>
      <w:r>
        <w:t xml:space="preserve">for ideas on the openness of your selected journal.</w:t>
      </w:r>
    </w:p>
    <w:p>
      <w:pPr>
        <w:pStyle w:val="FirstParagraph"/>
      </w:pPr>
      <w:r>
        <w:rPr>
          <w:bCs/>
          <w:b/>
        </w:rPr>
        <w:t xml:space="preserve">Option B:</w:t>
      </w:r>
      <w:r>
        <w:t xml:space="preserve"> </w:t>
      </w:r>
      <w:r>
        <w:t xml:space="preserve">Identify an</w:t>
      </w:r>
      <w:r>
        <w:t xml:space="preserve"> </w:t>
      </w:r>
      <w:r>
        <w:rPr>
          <w:bCs/>
          <w:b/>
        </w:rPr>
        <w:t xml:space="preserve">open access book publisher</w:t>
      </w:r>
      <w:r>
        <w:t xml:space="preserve">.</w:t>
      </w:r>
    </w:p>
    <w:p>
      <w:pPr>
        <w:numPr>
          <w:ilvl w:val="0"/>
          <w:numId w:val="1002"/>
        </w:numPr>
        <w:pStyle w:val="Compact"/>
      </w:pPr>
      <w:r>
        <w:t xml:space="preserve">Use the</w:t>
      </w:r>
      <w:r>
        <w:t xml:space="preserve"> </w:t>
      </w:r>
      <w:hyperlink r:id="rId24">
        <w:r>
          <w:rPr>
            <w:rStyle w:val="Hyperlink"/>
          </w:rPr>
          <w:t xml:space="preserve">Directory of Open Access Books (DOAB)</w:t>
        </w:r>
      </w:hyperlink>
      <w:r>
        <w:t xml:space="preserve"> </w:t>
      </w:r>
      <w:r>
        <w:t xml:space="preserve">to find a publisher in your field. Search by keyword, or browse by subject and publisher. If you find a book that looks relevant, who is the publisher, and what kind of Creative Commons license do they use for their works?</w:t>
      </w:r>
    </w:p>
    <w:bookmarkEnd w:id="25"/>
    <w:bookmarkStart w:id="27" w:name="activity-2"/>
    <w:p>
      <w:pPr>
        <w:pStyle w:val="Heading3"/>
      </w:pPr>
      <w:r>
        <w:t xml:space="preserve">Activity 2</w:t>
      </w:r>
    </w:p>
    <w:p>
      <w:pPr>
        <w:pStyle w:val="FirstParagraph"/>
      </w:pPr>
      <w:r>
        <w:t xml:space="preserve">Join us for office hours and chat with a librarian about publishing open access! You are welcome to drop in anytime.</w:t>
      </w:r>
    </w:p>
    <w:p>
      <w:pPr>
        <w:numPr>
          <w:ilvl w:val="0"/>
          <w:numId w:val="1003"/>
        </w:numPr>
        <w:pStyle w:val="Compact"/>
      </w:pPr>
      <w:r>
        <w:rPr>
          <w:bCs/>
          <w:b/>
        </w:rPr>
        <w:t xml:space="preserve">Date:</w:t>
      </w:r>
      <w:r>
        <w:t xml:space="preserve"> </w:t>
      </w:r>
      <w:r>
        <w:t xml:space="preserve">March 31, 10am-12pm</w:t>
      </w:r>
    </w:p>
    <w:p>
      <w:pPr>
        <w:numPr>
          <w:ilvl w:val="0"/>
          <w:numId w:val="1003"/>
        </w:numPr>
        <w:pStyle w:val="Compact"/>
      </w:pPr>
      <w:r>
        <w:rPr>
          <w:bCs/>
          <w:b/>
        </w:rPr>
        <w:t xml:space="preserve">Librarian:</w:t>
      </w:r>
      <w:r>
        <w:t xml:space="preserve"> </w:t>
      </w:r>
      <w:hyperlink r:id="rId26">
        <w:r>
          <w:rPr>
            <w:rStyle w:val="Hyperlink"/>
          </w:rPr>
          <w:t xml:space="preserve">Stephen Gabrielson</w:t>
        </w:r>
      </w:hyperlink>
    </w:p>
    <w:p>
      <w:pPr>
        <w:numPr>
          <w:ilvl w:val="0"/>
          <w:numId w:val="1003"/>
        </w:numPr>
        <w:pStyle w:val="Compact"/>
      </w:pPr>
      <w:r>
        <w:rPr>
          <w:bCs/>
          <w:b/>
        </w:rPr>
        <w:t xml:space="preserve">Zoom meeting:</w:t>
      </w:r>
      <w:r>
        <w:t xml:space="preserve"> </w:t>
      </w:r>
      <w:r>
        <w:t xml:space="preserve">[link removed]</w:t>
      </w:r>
    </w:p>
    <w:bookmarkEnd w:id="27"/>
    <w:bookmarkEnd w:id="28"/>
    <w:bookmarkStart w:id="46" w:name="learning-content"/>
    <w:p>
      <w:pPr>
        <w:pStyle w:val="Heading2"/>
      </w:pPr>
      <w:r>
        <w:t xml:space="preserve">Learning Content</w:t>
      </w:r>
    </w:p>
    <w:bookmarkStart w:id="30" w:name="what-is-open-access"/>
    <w:p>
      <w:pPr>
        <w:pStyle w:val="Heading3"/>
      </w:pPr>
      <w:r>
        <w:t xml:space="preserve">What is open access?</w:t>
      </w:r>
    </w:p>
    <w:p>
      <w:pPr>
        <w:pStyle w:val="FirstParagraph"/>
      </w:pPr>
      <w:r>
        <w:t xml:space="preserve">Peter Suber</w:t>
      </w:r>
      <w:r>
        <w:t xml:space="preserve"> </w:t>
      </w:r>
      <w:hyperlink r:id="rId29">
        <w:r>
          <w:rPr>
            <w:rStyle w:val="Hyperlink"/>
          </w:rPr>
          <w:t xml:space="preserve">defines open access</w:t>
        </w:r>
      </w:hyperlink>
      <w:r>
        <w:t xml:space="preserve"> </w:t>
      </w:r>
      <w:r>
        <w:t xml:space="preserve">(OA) as content that is</w:t>
      </w:r>
      <w:r>
        <w:t xml:space="preserve"> </w:t>
      </w:r>
      <w:r>
        <w:t xml:space="preserve">“</w:t>
      </w:r>
      <w:r>
        <w:t xml:space="preserve">digital, online, free of charge, and free of most copyright and licensing restrictions.</w:t>
      </w:r>
      <w:r>
        <w:t xml:space="preserve">”</w:t>
      </w:r>
      <w:r>
        <w:t xml:space="preserve"> </w:t>
      </w:r>
      <w:r>
        <w:t xml:space="preserve">Some of the benefits of OA include:</w:t>
      </w:r>
    </w:p>
    <w:p>
      <w:pPr>
        <w:numPr>
          <w:ilvl w:val="0"/>
          <w:numId w:val="1004"/>
        </w:numPr>
        <w:pStyle w:val="Compact"/>
      </w:pPr>
      <w:r>
        <w:t xml:space="preserve">Free, immediate, and equitable access to content</w:t>
      </w:r>
    </w:p>
    <w:p>
      <w:pPr>
        <w:numPr>
          <w:ilvl w:val="0"/>
          <w:numId w:val="1004"/>
        </w:numPr>
        <w:pStyle w:val="Compact"/>
      </w:pPr>
      <w:r>
        <w:t xml:space="preserve">Promotes collaboration and scientific advancement</w:t>
      </w:r>
    </w:p>
    <w:p>
      <w:pPr>
        <w:numPr>
          <w:ilvl w:val="0"/>
          <w:numId w:val="1004"/>
        </w:numPr>
        <w:pStyle w:val="Compact"/>
      </w:pPr>
      <w:r>
        <w:t xml:space="preserve">Higher citation rates and research impact</w:t>
      </w:r>
    </w:p>
    <w:bookmarkEnd w:id="30"/>
    <w:bookmarkStart w:id="36" w:name="common-open-access-publishing-models"/>
    <w:p>
      <w:pPr>
        <w:pStyle w:val="Heading3"/>
      </w:pPr>
      <w:r>
        <w:t xml:space="preserve">Common Open Access Publishing Models</w:t>
      </w:r>
    </w:p>
    <w:p>
      <w:pPr>
        <w:pStyle w:val="FirstParagraph"/>
      </w:pPr>
      <w:r>
        <w:t xml:space="preserve">The</w:t>
      </w:r>
      <w:r>
        <w:t xml:space="preserve"> </w:t>
      </w:r>
      <w:r>
        <w:rPr>
          <w:bCs/>
          <w:b/>
        </w:rPr>
        <w:t xml:space="preserve">gold open access</w:t>
      </w:r>
      <w:r>
        <w:t xml:space="preserve"> </w:t>
      </w:r>
      <w:r>
        <w:t xml:space="preserve">model:</w:t>
      </w:r>
    </w:p>
    <w:p>
      <w:pPr>
        <w:numPr>
          <w:ilvl w:val="0"/>
          <w:numId w:val="1005"/>
        </w:numPr>
        <w:pStyle w:val="Compact"/>
      </w:pPr>
      <w:r>
        <w:t xml:space="preserve">Involves publication in an OA journal</w:t>
      </w:r>
    </w:p>
    <w:p>
      <w:pPr>
        <w:numPr>
          <w:ilvl w:val="0"/>
          <w:numId w:val="1005"/>
        </w:numPr>
        <w:pStyle w:val="Compact"/>
      </w:pPr>
      <w:r>
        <w:t xml:space="preserve">May require a publication fee called an article processing charge (APC)</w:t>
      </w:r>
    </w:p>
    <w:p>
      <w:pPr>
        <w:numPr>
          <w:ilvl w:val="1"/>
          <w:numId w:val="1006"/>
        </w:numPr>
        <w:pStyle w:val="Compact"/>
      </w:pPr>
      <w:r>
        <w:t xml:space="preserve">APCs can be covered or reduced by research funders, institutions, and sometimes by the journal publisher</w:t>
      </w:r>
    </w:p>
    <w:p>
      <w:pPr>
        <w:numPr>
          <w:ilvl w:val="0"/>
          <w:numId w:val="1005"/>
        </w:numPr>
        <w:pStyle w:val="Compact"/>
      </w:pPr>
      <w:r>
        <w:t xml:space="preserve">Once published, content is immediately and freely available to everyone</w:t>
      </w:r>
    </w:p>
    <w:p>
      <w:pPr>
        <w:pStyle w:val="FirstParagraph"/>
      </w:pPr>
      <w:r>
        <w:t xml:space="preserve">The</w:t>
      </w:r>
      <w:r>
        <w:t xml:space="preserve"> </w:t>
      </w:r>
      <w:r>
        <w:rPr>
          <w:bCs/>
          <w:b/>
        </w:rPr>
        <w:t xml:space="preserve">green open access</w:t>
      </w:r>
      <w:r>
        <w:t xml:space="preserve"> </w:t>
      </w:r>
      <w:r>
        <w:t xml:space="preserve">model:</w:t>
      </w:r>
    </w:p>
    <w:p>
      <w:pPr>
        <w:numPr>
          <w:ilvl w:val="0"/>
          <w:numId w:val="1007"/>
        </w:numPr>
        <w:pStyle w:val="Compact"/>
      </w:pPr>
      <w:r>
        <w:t xml:space="preserve">No article processing charges</w:t>
      </w:r>
    </w:p>
    <w:p>
      <w:pPr>
        <w:numPr>
          <w:ilvl w:val="0"/>
          <w:numId w:val="1007"/>
        </w:numPr>
        <w:pStyle w:val="Compact"/>
      </w:pPr>
      <w:r>
        <w:t xml:space="preserve">Involves depositing a version of the manuscript in a journal repository</w:t>
      </w:r>
    </w:p>
    <w:p>
      <w:pPr>
        <w:numPr>
          <w:ilvl w:val="1"/>
          <w:numId w:val="1008"/>
        </w:numPr>
        <w:pStyle w:val="Compact"/>
      </w:pPr>
      <w:r>
        <w:t xml:space="preserve">Examples include institutional repositories (</w:t>
      </w:r>
      <w:hyperlink r:id="rId31">
        <w:r>
          <w:rPr>
            <w:rStyle w:val="Hyperlink"/>
          </w:rPr>
          <w:t xml:space="preserve">D-Scholarship@Pitt)</w:t>
        </w:r>
      </w:hyperlink>
      <w:r>
        <w:t xml:space="preserve">, subject repositories (</w:t>
      </w:r>
      <w:hyperlink r:id="rId32">
        <w:r>
          <w:rPr>
            <w:rStyle w:val="Hyperlink"/>
          </w:rPr>
          <w:t xml:space="preserve">PubMed Central</w:t>
        </w:r>
      </w:hyperlink>
      <w:r>
        <w:t xml:space="preserve">), and</w:t>
      </w:r>
      <w:r>
        <w:t xml:space="preserve"> </w:t>
      </w:r>
      <w:hyperlink r:id="rId33">
        <w:r>
          <w:rPr>
            <w:rStyle w:val="Hyperlink"/>
          </w:rPr>
          <w:t xml:space="preserve">preprint servers</w:t>
        </w:r>
      </w:hyperlink>
      <w:r>
        <w:t xml:space="preserve"> </w:t>
      </w:r>
      <w:r>
        <w:t xml:space="preserve">(medRxiv)</w:t>
      </w:r>
    </w:p>
    <w:p>
      <w:pPr>
        <w:numPr>
          <w:ilvl w:val="0"/>
          <w:numId w:val="1007"/>
        </w:numPr>
        <w:pStyle w:val="Compact"/>
      </w:pPr>
      <w:r>
        <w:t xml:space="preserve">The version of the article that is permitted for submission can vary based on publishing agreements or funder requirements</w:t>
      </w:r>
    </w:p>
    <w:p>
      <w:pPr>
        <w:numPr>
          <w:ilvl w:val="1"/>
          <w:numId w:val="1009"/>
        </w:numPr>
        <w:pStyle w:val="Compact"/>
      </w:pPr>
      <w:r>
        <w:t xml:space="preserve">Check for journal open access policies on</w:t>
      </w:r>
      <w:r>
        <w:t xml:space="preserve"> </w:t>
      </w:r>
      <w:hyperlink r:id="rId34">
        <w:r>
          <w:rPr>
            <w:rStyle w:val="Hyperlink"/>
          </w:rPr>
          <w:t xml:space="preserve">Sherpa Romeo</w:t>
        </w:r>
      </w:hyperlink>
    </w:p>
    <w:p>
      <w:pPr>
        <w:numPr>
          <w:ilvl w:val="1"/>
          <w:numId w:val="1009"/>
        </w:numPr>
        <w:pStyle w:val="Compact"/>
      </w:pPr>
      <w:r>
        <w:t xml:space="preserve">Check for funder open access policies on</w:t>
      </w:r>
      <w:r>
        <w:t xml:space="preserve"> </w:t>
      </w:r>
      <w:hyperlink r:id="rId35">
        <w:r>
          <w:rPr>
            <w:rStyle w:val="Hyperlink"/>
          </w:rPr>
          <w:t xml:space="preserve">Sherpa Juliet</w:t>
        </w:r>
      </w:hyperlink>
    </w:p>
    <w:p>
      <w:pPr>
        <w:numPr>
          <w:ilvl w:val="0"/>
          <w:numId w:val="1007"/>
        </w:numPr>
        <w:pStyle w:val="Compact"/>
      </w:pPr>
      <w:r>
        <w:t xml:space="preserve">Article is made open access in the repository after an embargo period</w:t>
      </w:r>
    </w:p>
    <w:p>
      <w:pPr>
        <w:pStyle w:val="FirstParagraph"/>
      </w:pPr>
      <w:r>
        <w:t xml:space="preserve">The</w:t>
      </w:r>
      <w:r>
        <w:t xml:space="preserve"> </w:t>
      </w:r>
      <w:r>
        <w:rPr>
          <w:bCs/>
          <w:b/>
        </w:rPr>
        <w:t xml:space="preserve">hybrid open access</w:t>
      </w:r>
      <w:r>
        <w:t xml:space="preserve"> </w:t>
      </w:r>
      <w:r>
        <w:t xml:space="preserve">model:</w:t>
      </w:r>
    </w:p>
    <w:p>
      <w:pPr>
        <w:numPr>
          <w:ilvl w:val="0"/>
          <w:numId w:val="1010"/>
        </w:numPr>
        <w:pStyle w:val="Compact"/>
      </w:pPr>
      <w:r>
        <w:t xml:space="preserve">Involves publication in a subscription journal that allows authors to pay for their article to be OA</w:t>
      </w:r>
    </w:p>
    <w:p>
      <w:pPr>
        <w:numPr>
          <w:ilvl w:val="0"/>
          <w:numId w:val="1010"/>
        </w:numPr>
        <w:pStyle w:val="Compact"/>
      </w:pPr>
      <w:r>
        <w:t xml:space="preserve">Once published, content is immediately and freely available to everyone</w:t>
      </w:r>
    </w:p>
    <w:bookmarkEnd w:id="36"/>
    <w:bookmarkStart w:id="45" w:name="open-access-funding-support-at-pitt"/>
    <w:p>
      <w:pPr>
        <w:pStyle w:val="Heading3"/>
      </w:pPr>
      <w:r>
        <w:t xml:space="preserve">Open Access Funding Support at Pitt</w:t>
      </w:r>
    </w:p>
    <w:bookmarkStart w:id="42" w:name="cambridge-university-press-journals"/>
    <w:p>
      <w:pPr>
        <w:pStyle w:val="Heading4"/>
      </w:pPr>
      <w:r>
        <w:t xml:space="preserve">CAMBRIDGE UNIVERSITY PRESS JOURNALS</w:t>
      </w:r>
    </w:p>
    <w:p>
      <w:pPr>
        <w:pStyle w:val="FirstParagraph"/>
      </w:pPr>
      <w:r>
        <w:t xml:space="preserve">The NorthEast Research Libraries Consortium (NERL), which the University of Pittsburgh is a member of, has a</w:t>
      </w:r>
      <w:r>
        <w:t xml:space="preserve"> </w:t>
      </w:r>
      <w:hyperlink r:id="rId37">
        <w:r>
          <w:rPr>
            <w:rStyle w:val="Hyperlink"/>
          </w:rPr>
          <w:t xml:space="preserve">Read and Publish agreement with Cambridge University Press (CUP)</w:t>
        </w:r>
      </w:hyperlink>
      <w:r>
        <w:t xml:space="preserve"> </w:t>
      </w:r>
      <w:r>
        <w:t xml:space="preserve">that will waive article processing charges (APCs) for open access articles that meet the following eligibility criteria:</w:t>
      </w:r>
    </w:p>
    <w:p>
      <w:pPr>
        <w:numPr>
          <w:ilvl w:val="0"/>
          <w:numId w:val="1011"/>
        </w:numPr>
        <w:pStyle w:val="Compact"/>
      </w:pPr>
      <w:r>
        <w:t xml:space="preserve">Have a</w:t>
      </w:r>
      <w:r>
        <w:t xml:space="preserve"> </w:t>
      </w:r>
      <w:hyperlink r:id="rId38">
        <w:r>
          <w:rPr>
            <w:rStyle w:val="Hyperlink"/>
          </w:rPr>
          <w:t xml:space="preserve">corresponding author</w:t>
        </w:r>
      </w:hyperlink>
      <w:r>
        <w:t xml:space="preserve"> </w:t>
      </w:r>
      <w:r>
        <w:t xml:space="preserve">affiliated with the University of Pittsburgh or UPMC.</w:t>
      </w:r>
    </w:p>
    <w:p>
      <w:pPr>
        <w:numPr>
          <w:ilvl w:val="0"/>
          <w:numId w:val="1011"/>
        </w:numPr>
        <w:pStyle w:val="Compact"/>
      </w:pPr>
      <w:r>
        <w:t xml:space="preserve">Be original research—</w:t>
      </w:r>
      <w:hyperlink r:id="rId39">
        <w:r>
          <w:rPr>
            <w:rStyle w:val="Hyperlink"/>
          </w:rPr>
          <w:t xml:space="preserve">eligible article types</w:t>
        </w:r>
      </w:hyperlink>
      <w:r>
        <w:t xml:space="preserve"> </w:t>
      </w:r>
      <w:r>
        <w:t xml:space="preserve">are research articles, review articles, rapid communications, brief reports, and case reports.</w:t>
      </w:r>
    </w:p>
    <w:p>
      <w:pPr>
        <w:numPr>
          <w:ilvl w:val="0"/>
          <w:numId w:val="1011"/>
        </w:numPr>
        <w:pStyle w:val="Compact"/>
      </w:pPr>
      <w:r>
        <w:t xml:space="preserve">Be accepted for publication in a</w:t>
      </w:r>
      <w:r>
        <w:t xml:space="preserve"> </w:t>
      </w:r>
      <w:hyperlink r:id="rId40">
        <w:r>
          <w:rPr>
            <w:rStyle w:val="Hyperlink"/>
          </w:rPr>
          <w:t xml:space="preserve">CUP journal covered by the agreement</w:t>
        </w:r>
      </w:hyperlink>
      <w:r>
        <w:t xml:space="preserve"> </w:t>
      </w:r>
      <w:r>
        <w:t xml:space="preserve">(opens in Excel)</w:t>
      </w:r>
    </w:p>
    <w:p>
      <w:pPr>
        <w:numPr>
          <w:ilvl w:val="0"/>
          <w:numId w:val="1011"/>
        </w:numPr>
        <w:pStyle w:val="Compact"/>
      </w:pPr>
      <w:r>
        <w:t xml:space="preserve">Be accepted for publication on or after January 1, 2022.</w:t>
      </w:r>
    </w:p>
    <w:p>
      <w:pPr>
        <w:pStyle w:val="FirstParagraph"/>
      </w:pPr>
      <w:r>
        <w:t xml:space="preserve">See</w:t>
      </w:r>
      <w:r>
        <w:t xml:space="preserve"> </w:t>
      </w:r>
      <w:hyperlink r:id="rId41">
        <w:r>
          <w:rPr>
            <w:rStyle w:val="Hyperlink"/>
          </w:rPr>
          <w:t xml:space="preserve">CUP’s guide</w:t>
        </w:r>
      </w:hyperlink>
      <w:r>
        <w:t xml:space="preserve"> </w:t>
      </w:r>
      <w:r>
        <w:t xml:space="preserve">to learn more about how publishing open access under this agreement works.</w:t>
      </w:r>
    </w:p>
    <w:bookmarkEnd w:id="42"/>
    <w:bookmarkStart w:id="44" w:name="Xb767256baef630d685dd285820c30f94cc0962d"/>
    <w:p>
      <w:pPr>
        <w:pStyle w:val="Heading4"/>
      </w:pPr>
      <w:r>
        <w:t xml:space="preserve">UNIVERSITY LIBRARY SYSTEM OPEN ACCESS AUTHOR FEE FUND</w:t>
      </w:r>
    </w:p>
    <w:p>
      <w:pPr>
        <w:pStyle w:val="FirstParagraph"/>
      </w:pPr>
      <w:hyperlink r:id="rId43">
        <w:r>
          <w:rPr>
            <w:rStyle w:val="Hyperlink"/>
          </w:rPr>
          <w:t xml:space="preserve">This fund</w:t>
        </w:r>
      </w:hyperlink>
      <w:r>
        <w:t xml:space="preserve"> </w:t>
      </w:r>
      <w:r>
        <w:t xml:space="preserve">can be used by authors served by the ULS and Barco libraries to pay for article processing charges in fully open access journals. If you are a researcher from one of the health sciences schools, and if you have a co-author from a school served by the ULS or Barco libraries, they may be able to apply for OA funding support. The fund is currently exhausted but will re-open for applications in August 2022.</w:t>
      </w:r>
    </w:p>
    <w:bookmarkEnd w:id="44"/>
    <w:bookmarkEnd w:id="45"/>
    <w:bookmarkEnd w:id="46"/>
    <w:bookmarkStart w:id="51" w:name="further-resources"/>
    <w:p>
      <w:pPr>
        <w:pStyle w:val="Heading2"/>
      </w:pPr>
      <w:r>
        <w:t xml:space="preserve">Further Resources</w:t>
      </w:r>
    </w:p>
    <w:p>
      <w:pPr>
        <w:numPr>
          <w:ilvl w:val="0"/>
          <w:numId w:val="1012"/>
        </w:numPr>
      </w:pPr>
      <w:hyperlink r:id="rId47">
        <w:r>
          <w:rPr>
            <w:rStyle w:val="Hyperlink"/>
          </w:rPr>
          <w:t xml:space="preserve">Benefits of publishing your work open access: debunking myths</w:t>
        </w:r>
      </w:hyperlink>
      <w:r>
        <w:t xml:space="preserve"> </w:t>
      </w:r>
      <w:r>
        <w:t xml:space="preserve">This article will debunk some of the myths surrounding OA and provide you with some benefits of publishing your research under an OA model.</w:t>
      </w:r>
    </w:p>
    <w:p>
      <w:pPr>
        <w:numPr>
          <w:ilvl w:val="0"/>
          <w:numId w:val="1012"/>
        </w:numPr>
      </w:pPr>
      <w:hyperlink r:id="rId48">
        <w:r>
          <w:rPr>
            <w:rStyle w:val="Hyperlink"/>
          </w:rPr>
          <w:t xml:space="preserve">Creative commons licenses for OA content</w:t>
        </w:r>
      </w:hyperlink>
      <w:r>
        <w:t xml:space="preserve"> </w:t>
      </w:r>
      <w:r>
        <w:t xml:space="preserve">If this topic is of interest, learn more about these licenses &amp; copyright on day 6 of the challenge.</w:t>
      </w:r>
    </w:p>
    <w:p>
      <w:pPr>
        <w:numPr>
          <w:ilvl w:val="0"/>
          <w:numId w:val="1012"/>
        </w:numPr>
      </w:pPr>
      <w:hyperlink r:id="rId49">
        <w:r>
          <w:rPr>
            <w:rStyle w:val="Hyperlink"/>
          </w:rPr>
          <w:t xml:space="preserve">Directory of Open Access Resources</w:t>
        </w:r>
      </w:hyperlink>
      <w:r>
        <w:t xml:space="preserve"> </w:t>
      </w:r>
      <w:r>
        <w:t xml:space="preserve">Database containing a variety of open access scholarly resources including journals, academic repositories, conference proceedings, and more.</w:t>
      </w:r>
    </w:p>
    <w:p>
      <w:pPr>
        <w:numPr>
          <w:ilvl w:val="0"/>
          <w:numId w:val="1012"/>
        </w:numPr>
      </w:pPr>
      <w:hyperlink r:id="rId23">
        <w:r>
          <w:rPr>
            <w:rStyle w:val="Hyperlink"/>
          </w:rPr>
          <w:t xml:space="preserve">HowOpenIsIt? A Guide for Evaluating the Openness of Journals</w:t>
        </w:r>
      </w:hyperlink>
      <w:r>
        <w:t xml:space="preserve"> </w:t>
      </w:r>
      <w:r>
        <w:t xml:space="preserve">This guide provides a means to identify the core components of OA and how they are implemented across the spectrum between</w:t>
      </w:r>
      <w:r>
        <w:t xml:space="preserve"> </w:t>
      </w:r>
      <w:r>
        <w:t xml:space="preserve">“</w:t>
      </w:r>
      <w:r>
        <w:t xml:space="preserve">Open Access</w:t>
      </w:r>
      <w:r>
        <w:t xml:space="preserve">”</w:t>
      </w:r>
      <w:r>
        <w:t xml:space="preserve"> </w:t>
      </w:r>
      <w:r>
        <w:t xml:space="preserve">and</w:t>
      </w:r>
      <w:r>
        <w:t xml:space="preserve"> </w:t>
      </w:r>
      <w:r>
        <w:t xml:space="preserve">“</w:t>
      </w:r>
      <w:r>
        <w:t xml:space="preserve">Closed Access</w:t>
      </w:r>
      <w:r>
        <w:t xml:space="preserve">”</w:t>
      </w:r>
      <w:r>
        <w:t xml:space="preserve">.</w:t>
      </w:r>
    </w:p>
    <w:p>
      <w:pPr>
        <w:numPr>
          <w:ilvl w:val="0"/>
          <w:numId w:val="1012"/>
        </w:numPr>
      </w:pPr>
      <w:hyperlink r:id="rId50">
        <w:r>
          <w:rPr>
            <w:rStyle w:val="Hyperlink"/>
          </w:rPr>
          <w:t xml:space="preserve">Think. Check. Submit.</w:t>
        </w:r>
      </w:hyperlink>
      <w:r>
        <w:t xml:space="preserve"> </w:t>
      </w:r>
      <w:r>
        <w:t xml:space="preserve">Think. Check. Submit. helps researchers identify trusted journals and publishers for their research. Through a range of tools and practical resources, this international, cross-sector initiative aims to educate researchers, promote integrity, and build trust in credible research and publications.</w:t>
      </w:r>
    </w:p>
    <w:bookmarkEnd w:id="51"/>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shd w:val="clear" w:fill="f1f3f5"/>
    </w:pPr>
  </w:style>
  <w:style w:type="character" w:customStyle="1" w:styleId="KeywordTok">
    <w:name w:val="KeywordTok"/>
    <w:basedOn w:val="VerbatimChar"/>
    <w:rPr>
      <w:color w:val="003b4f"/>
      <w:shd w:val="clear" w:fill="f1f3f5"/>
    </w:rPr>
  </w:style>
  <w:style w:type="character" w:customStyle="1" w:styleId="DataTypeTok">
    <w:name w:val="DataTypeTok"/>
    <w:basedOn w:val="VerbatimChar"/>
    <w:rPr>
      <w:color w:val="ad0000"/>
      <w:shd w:val="clear" w:fill="f1f3f5"/>
    </w:rPr>
  </w:style>
  <w:style w:type="character" w:customStyle="1" w:styleId="DecValTok">
    <w:name w:val="DecValTok"/>
    <w:basedOn w:val="VerbatimChar"/>
    <w:rPr>
      <w:color w:val="ad0000"/>
      <w:shd w:val="clear" w:fill="f1f3f5"/>
    </w:rPr>
  </w:style>
  <w:style w:type="character" w:customStyle="1" w:styleId="BaseNTok">
    <w:name w:val="BaseNTok"/>
    <w:basedOn w:val="VerbatimChar"/>
    <w:rPr>
      <w:color w:val="ad0000"/>
      <w:shd w:val="clear" w:fill="f1f3f5"/>
    </w:rPr>
  </w:style>
  <w:style w:type="character" w:customStyle="1" w:styleId="FloatTok">
    <w:name w:val="FloatTok"/>
    <w:basedOn w:val="VerbatimChar"/>
    <w:rPr>
      <w:color w:val="ad0000"/>
      <w:shd w:val="clear" w:fill="f1f3f5"/>
    </w:rPr>
  </w:style>
  <w:style w:type="character" w:customStyle="1" w:styleId="ConstantTok">
    <w:name w:val="ConstantTok"/>
    <w:basedOn w:val="VerbatimChar"/>
    <w:rPr>
      <w:color w:val="8f5902"/>
      <w:shd w:val="clear" w:fill="f1f3f5"/>
    </w:rPr>
  </w:style>
  <w:style w:type="character" w:customStyle="1" w:styleId="CharTok">
    <w:name w:val="CharTok"/>
    <w:basedOn w:val="VerbatimChar"/>
    <w:rPr>
      <w:color w:val="20794d"/>
      <w:shd w:val="clear" w:fill="f1f3f5"/>
    </w:rPr>
  </w:style>
  <w:style w:type="character" w:customStyle="1" w:styleId="SpecialCharTok">
    <w:name w:val="SpecialCharTok"/>
    <w:basedOn w:val="VerbatimChar"/>
    <w:rPr>
      <w:color w:val="5e5e5e"/>
      <w:shd w:val="clear" w:fill="f1f3f5"/>
    </w:rPr>
  </w:style>
  <w:style w:type="character" w:customStyle="1" w:styleId="StringTok">
    <w:name w:val="StringTok"/>
    <w:basedOn w:val="VerbatimChar"/>
    <w:rPr>
      <w:color w:val="20794d"/>
      <w:shd w:val="clear" w:fill="f1f3f5"/>
    </w:rPr>
  </w:style>
  <w:style w:type="character" w:customStyle="1" w:styleId="VerbatimStringTok">
    <w:name w:val="VerbatimStringTok"/>
    <w:basedOn w:val="VerbatimChar"/>
    <w:rPr>
      <w:color w:val="20794d"/>
      <w:shd w:val="clear" w:fill="f1f3f5"/>
    </w:rPr>
  </w:style>
  <w:style w:type="character" w:customStyle="1" w:styleId="SpecialStringTok">
    <w:name w:val="SpecialStringTok"/>
    <w:basedOn w:val="VerbatimChar"/>
    <w:rPr>
      <w:color w:val="20794d"/>
      <w:shd w:val="clear" w:fill="f1f3f5"/>
    </w:rPr>
  </w:style>
  <w:style w:type="character" w:customStyle="1" w:styleId="ImportTok">
    <w:name w:val="ImportTok"/>
    <w:basedOn w:val="VerbatimChar"/>
    <w:rPr>
      <w:color w:val="00769e"/>
      <w:shd w:val="clear" w:fill="f1f3f5"/>
    </w:rPr>
  </w:style>
  <w:style w:type="character" w:customStyle="1" w:styleId="CommentTok">
    <w:name w:val="CommentTok"/>
    <w:basedOn w:val="VerbatimChar"/>
    <w:rPr>
      <w:color w:val="5e5e5e"/>
      <w:shd w:val="clear" w:fill="f1f3f5"/>
    </w:rPr>
  </w:style>
  <w:style w:type="character" w:customStyle="1" w:styleId="DocumentationTok">
    <w:name w:val="DocumentationTok"/>
    <w:basedOn w:val="VerbatimChar"/>
    <w:rPr>
      <w:color w:val="5e5e5e"/>
      <w:shd w:val="clear" w:fill="f1f3f5"/>
      <w:i/>
    </w:rPr>
  </w:style>
  <w:style w:type="character" w:customStyle="1" w:styleId="AnnotationTok">
    <w:name w:val="AnnotationTok"/>
    <w:basedOn w:val="VerbatimChar"/>
    <w:rPr>
      <w:color w:val="5e5e5e"/>
      <w:shd w:val="clear" w:fill="f1f3f5"/>
    </w:rPr>
  </w:style>
  <w:style w:type="character" w:customStyle="1" w:styleId="CommentVarTok">
    <w:name w:val="CommentVarTok"/>
    <w:basedOn w:val="VerbatimChar"/>
    <w:rPr>
      <w:color w:val="5e5e5e"/>
      <w:shd w:val="clear" w:fill="f1f3f5"/>
      <w:i/>
    </w:rPr>
  </w:style>
  <w:style w:type="character" w:customStyle="1" w:styleId="OtherTok">
    <w:name w:val="OtherTok"/>
    <w:basedOn w:val="VerbatimChar"/>
    <w:rPr>
      <w:color w:val="003b4f"/>
      <w:shd w:val="clear" w:fill="f1f3f5"/>
    </w:rPr>
  </w:style>
  <w:style w:type="character" w:customStyle="1" w:styleId="FunctionTok">
    <w:name w:val="FunctionTok"/>
    <w:basedOn w:val="VerbatimChar"/>
    <w:rPr>
      <w:color w:val="4758ab"/>
      <w:shd w:val="clear" w:fill="f1f3f5"/>
    </w:rPr>
  </w:style>
  <w:style w:type="character" w:customStyle="1" w:styleId="VariableTok">
    <w:name w:val="VariableTok"/>
    <w:basedOn w:val="VerbatimChar"/>
    <w:rPr>
      <w:color w:val="111111"/>
      <w:shd w:val="clear" w:fill="f1f3f5"/>
    </w:rPr>
  </w:style>
  <w:style w:type="character" w:customStyle="1" w:styleId="ControlFlowTok">
    <w:name w:val="ControlFlowTok"/>
    <w:basedOn w:val="VerbatimChar"/>
    <w:rPr>
      <w:color w:val="003b4f"/>
      <w:shd w:val="clear" w:fill="f1f3f5"/>
    </w:rPr>
  </w:style>
  <w:style w:type="character" w:customStyle="1" w:styleId="OperatorTok">
    <w:name w:val="OperatorTok"/>
    <w:basedOn w:val="VerbatimChar"/>
    <w:rPr>
      <w:color w:val="5e5e5e"/>
      <w:shd w:val="clear" w:fill="f1f3f5"/>
    </w:rPr>
  </w:style>
  <w:style w:type="character" w:customStyle="1" w:styleId="BuiltInTok">
    <w:name w:val="BuiltInTok"/>
    <w:basedOn w:val="VerbatimChar"/>
    <w:rPr>
      <w:color w:val="003b4f"/>
      <w:shd w:val="clear" w:fill="f1f3f5"/>
    </w:rPr>
  </w:style>
  <w:style w:type="character" w:customStyle="1" w:styleId="ExtensionTok">
    <w:name w:val="ExtensionTok"/>
    <w:basedOn w:val="VerbatimChar"/>
    <w:rPr>
      <w:color w:val="003b4f"/>
      <w:shd w:val="clear" w:fill="f1f3f5"/>
    </w:rPr>
  </w:style>
  <w:style w:type="character" w:customStyle="1" w:styleId="PreprocessorTok">
    <w:name w:val="PreprocessorTok"/>
    <w:basedOn w:val="VerbatimChar"/>
    <w:rPr>
      <w:color w:val="ad0000"/>
      <w:shd w:val="clear" w:fill="f1f3f5"/>
    </w:rPr>
  </w:style>
  <w:style w:type="character" w:customStyle="1" w:styleId="AttributeTok">
    <w:name w:val="AttributeTok"/>
    <w:basedOn w:val="VerbatimChar"/>
    <w:rPr>
      <w:color w:val="657422"/>
      <w:shd w:val="clear" w:fill="f1f3f5"/>
    </w:rPr>
  </w:style>
  <w:style w:type="character" w:customStyle="1" w:styleId="RegionMarkerTok">
    <w:name w:val="RegionMarkerTok"/>
    <w:basedOn w:val="VerbatimChar"/>
    <w:rPr>
      <w:color w:val="003b4f"/>
      <w:shd w:val="clear" w:fill="f1f3f5"/>
    </w:rPr>
  </w:style>
  <w:style w:type="character" w:customStyle="1" w:styleId="InformationTok">
    <w:name w:val="InformationTok"/>
    <w:basedOn w:val="VerbatimChar"/>
    <w:rPr>
      <w:color w:val="5e5e5e"/>
      <w:shd w:val="clear" w:fill="f1f3f5"/>
    </w:rPr>
  </w:style>
  <w:style w:type="character" w:customStyle="1" w:styleId="WarningTok">
    <w:name w:val="WarningTok"/>
    <w:basedOn w:val="VerbatimChar"/>
    <w:rPr>
      <w:color w:val="5e5e5e"/>
      <w:shd w:val="clear" w:fill="f1f3f5"/>
      <w:i/>
    </w:rPr>
  </w:style>
  <w:style w:type="character" w:customStyle="1" w:styleId="AlertTok">
    <w:name w:val="AlertTok"/>
    <w:basedOn w:val="VerbatimChar"/>
    <w:rPr>
      <w:color w:val="ad0000"/>
      <w:shd w:val="clear" w:fill="f1f3f5"/>
    </w:rPr>
  </w:style>
  <w:style w:type="character" w:customStyle="1" w:styleId="ErrorTok">
    <w:name w:val="ErrorTok"/>
    <w:basedOn w:val="VerbatimChar"/>
    <w:rPr>
      <w:color w:val="ad0000"/>
      <w:shd w:val="clear" w:fill="f1f3f5"/>
    </w:rPr>
  </w:style>
  <w:style w:type="character" w:customStyle="1" w:styleId="NormalTok">
    <w:name w:val="NormalTok"/>
    <w:basedOn w:val="VerbatimChar"/>
    <w:rPr>
      <w:color w:val="003b4f"/>
      <w:shd w:val="clear" w:fill="f1f3f5"/>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9" Target="http://archive.org/details/9780262517638OpenAccess" TargetMode="External" /><Relationship Type="http://schemas.openxmlformats.org/officeDocument/2006/relationships/hyperlink" Id="rId31" Target="http://d-scholarship.pitt.edu/" TargetMode="External" /><Relationship Type="http://schemas.openxmlformats.org/officeDocument/2006/relationships/hyperlink" Id="rId48" Target="https://creativecommons.org/licenses/" TargetMode="External" /><Relationship Type="http://schemas.openxmlformats.org/officeDocument/2006/relationships/hyperlink" Id="rId21" Target="https://doaj.org/" TargetMode="External" /><Relationship Type="http://schemas.openxmlformats.org/officeDocument/2006/relationships/hyperlink" Id="rId33" Target="https://hsls.libguides.com/where-should-i-publish/preprints" TargetMode="External" /><Relationship Type="http://schemas.openxmlformats.org/officeDocument/2006/relationships/hyperlink" Id="rId22" Target="https://ojm.ocert.at/" TargetMode="External" /><Relationship Type="http://schemas.openxmlformats.org/officeDocument/2006/relationships/hyperlink" Id="rId49" Target="https://road.issn.org/advancedsearch" TargetMode="External" /><Relationship Type="http://schemas.openxmlformats.org/officeDocument/2006/relationships/hyperlink" Id="rId23" Target="https://sparcopen.org/our-work/howopenisit/" TargetMode="External" /><Relationship Type="http://schemas.openxmlformats.org/officeDocument/2006/relationships/hyperlink" Id="rId50" Target="https://thinkchecksubmit.org/" TargetMode="External" /><Relationship Type="http://schemas.openxmlformats.org/officeDocument/2006/relationships/hyperlink" Id="rId35" Target="https://v2.sherpa.ac.uk/juliet/" TargetMode="External" /><Relationship Type="http://schemas.openxmlformats.org/officeDocument/2006/relationships/hyperlink" Id="rId34" Target="https://v2.sherpa.ac.uk/romeo/" TargetMode="External" /><Relationship Type="http://schemas.openxmlformats.org/officeDocument/2006/relationships/hyperlink" Id="rId40" Target="https://www.cambridge.org/core/services/aop-file-manager/file/5f9691f254f88e475ea29308" TargetMode="External" /><Relationship Type="http://schemas.openxmlformats.org/officeDocument/2006/relationships/hyperlink" Id="rId38" Target="https://www.cambridge.org/core/services/authors/journals/corresponding-author" TargetMode="External" /><Relationship Type="http://schemas.openxmlformats.org/officeDocument/2006/relationships/hyperlink" Id="rId39" Target="https://www.cambridge.org/core/services/open-access-policies/read-and-publish-agreements/article-type-definitions" TargetMode="External" /><Relationship Type="http://schemas.openxmlformats.org/officeDocument/2006/relationships/hyperlink" Id="rId37" Target="https://www.cambridge.org/core/services/open-access-policies/read-and-publish-agreements/oa-agreement-nerl" TargetMode="External" /><Relationship Type="http://schemas.openxmlformats.org/officeDocument/2006/relationships/hyperlink" Id="rId41" Target="https://www.canva.com/design/DAEk19AU1fs/view?utm_content=DAEk19AU1fs&amp;utm_campaign=designshare&amp;utm_medium=embeds&amp;utm_source=link" TargetMode="External" /><Relationship Type="http://schemas.openxmlformats.org/officeDocument/2006/relationships/hyperlink" Id="rId24" Target="https://www.doabooks.org/en" TargetMode="External" /><Relationship Type="http://schemas.openxmlformats.org/officeDocument/2006/relationships/hyperlink" Id="rId26" Target="https://www.hsls.pitt.edu/staff/stephen-gabrielson" TargetMode="External" /><Relationship Type="http://schemas.openxmlformats.org/officeDocument/2006/relationships/hyperlink" Id="rId43" Target="https://www.library.pitt.edu/open-access-author-fee-fund-policy" TargetMode="External" /><Relationship Type="http://schemas.openxmlformats.org/officeDocument/2006/relationships/hyperlink" Id="rId32" Target="https://www.ncbi.nlm.nih.gov/labs/pmc/" TargetMode="External" /><Relationship Type="http://schemas.openxmlformats.org/officeDocument/2006/relationships/hyperlink" Id="rId47" Target="https://www.wolterskluwer.com/en/expert-insights/authors-benefits-publishing-open-access" TargetMode="External" /></Relationships>
</file>

<file path=word/_rels/footnotes.xml.rels><?xml version="1.0" encoding="UTF-8"?><Relationships xmlns="http://schemas.openxmlformats.org/package/2006/relationships"><Relationship Type="http://schemas.openxmlformats.org/officeDocument/2006/relationships/hyperlink" Id="rId29" Target="http://archive.org/details/9780262517638OpenAccess" TargetMode="External" /><Relationship Type="http://schemas.openxmlformats.org/officeDocument/2006/relationships/hyperlink" Id="rId31" Target="http://d-scholarship.pitt.edu/" TargetMode="External" /><Relationship Type="http://schemas.openxmlformats.org/officeDocument/2006/relationships/hyperlink" Id="rId48" Target="https://creativecommons.org/licenses/" TargetMode="External" /><Relationship Type="http://schemas.openxmlformats.org/officeDocument/2006/relationships/hyperlink" Id="rId21" Target="https://doaj.org/" TargetMode="External" /><Relationship Type="http://schemas.openxmlformats.org/officeDocument/2006/relationships/hyperlink" Id="rId33" Target="https://hsls.libguides.com/where-should-i-publish/preprints" TargetMode="External" /><Relationship Type="http://schemas.openxmlformats.org/officeDocument/2006/relationships/hyperlink" Id="rId22" Target="https://ojm.ocert.at/" TargetMode="External" /><Relationship Type="http://schemas.openxmlformats.org/officeDocument/2006/relationships/hyperlink" Id="rId49" Target="https://road.issn.org/advancedsearch" TargetMode="External" /><Relationship Type="http://schemas.openxmlformats.org/officeDocument/2006/relationships/hyperlink" Id="rId23" Target="https://sparcopen.org/our-work/howopenisit/" TargetMode="External" /><Relationship Type="http://schemas.openxmlformats.org/officeDocument/2006/relationships/hyperlink" Id="rId50" Target="https://thinkchecksubmit.org/" TargetMode="External" /><Relationship Type="http://schemas.openxmlformats.org/officeDocument/2006/relationships/hyperlink" Id="rId35" Target="https://v2.sherpa.ac.uk/juliet/" TargetMode="External" /><Relationship Type="http://schemas.openxmlformats.org/officeDocument/2006/relationships/hyperlink" Id="rId34" Target="https://v2.sherpa.ac.uk/romeo/" TargetMode="External" /><Relationship Type="http://schemas.openxmlformats.org/officeDocument/2006/relationships/hyperlink" Id="rId40" Target="https://www.cambridge.org/core/services/aop-file-manager/file/5f9691f254f88e475ea29308" TargetMode="External" /><Relationship Type="http://schemas.openxmlformats.org/officeDocument/2006/relationships/hyperlink" Id="rId38" Target="https://www.cambridge.org/core/services/authors/journals/corresponding-author" TargetMode="External" /><Relationship Type="http://schemas.openxmlformats.org/officeDocument/2006/relationships/hyperlink" Id="rId39" Target="https://www.cambridge.org/core/services/open-access-policies/read-and-publish-agreements/article-type-definitions" TargetMode="External" /><Relationship Type="http://schemas.openxmlformats.org/officeDocument/2006/relationships/hyperlink" Id="rId37" Target="https://www.cambridge.org/core/services/open-access-policies/read-and-publish-agreements/oa-agreement-nerl" TargetMode="External" /><Relationship Type="http://schemas.openxmlformats.org/officeDocument/2006/relationships/hyperlink" Id="rId41" Target="https://www.canva.com/design/DAEk19AU1fs/view?utm_content=DAEk19AU1fs&amp;utm_campaign=designshare&amp;utm_medium=embeds&amp;utm_source=link" TargetMode="External" /><Relationship Type="http://schemas.openxmlformats.org/officeDocument/2006/relationships/hyperlink" Id="rId24" Target="https://www.doabooks.org/en" TargetMode="External" /><Relationship Type="http://schemas.openxmlformats.org/officeDocument/2006/relationships/hyperlink" Id="rId26" Target="https://www.hsls.pitt.edu/staff/stephen-gabrielson" TargetMode="External" /><Relationship Type="http://schemas.openxmlformats.org/officeDocument/2006/relationships/hyperlink" Id="rId43" Target="https://www.library.pitt.edu/open-access-author-fee-fund-policy" TargetMode="External" /><Relationship Type="http://schemas.openxmlformats.org/officeDocument/2006/relationships/hyperlink" Id="rId32" Target="https://www.ncbi.nlm.nih.gov/labs/pmc/" TargetMode="External" /><Relationship Type="http://schemas.openxmlformats.org/officeDocument/2006/relationships/hyperlink" Id="rId47" Target="https://www.wolterskluwer.com/en/expert-insights/authors-benefits-publishing-open-access"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Day 4: Open Access</dc:title>
  <dc:creator>Health Sciences Library System; University Library System; University of Pittsburgh</dc:creator>
  <cp:keywords/>
  <dcterms:created xsi:type="dcterms:W3CDTF">2022-05-24T21:53:14Z</dcterms:created>
  <dcterms:modified xsi:type="dcterms:W3CDTF">2022-05-24T21:53:14Z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s">
    <vt:lpwstr/>
  </property>
  <property fmtid="{D5CDD505-2E9C-101B-9397-08002B2CF9AE}" pid="3" name="editor">
    <vt:lpwstr>visual</vt:lpwstr>
  </property>
  <property fmtid="{D5CDD505-2E9C-101B-9397-08002B2CF9AE}" pid="4" name="header-includes">
    <vt:lpwstr/>
  </property>
  <property fmtid="{D5CDD505-2E9C-101B-9397-08002B2CF9AE}" pid="5" name="include-after">
    <vt:lpwstr/>
  </property>
  <property fmtid="{D5CDD505-2E9C-101B-9397-08002B2CF9AE}" pid="6" name="include-before">
    <vt:lpwstr/>
  </property>
  <property fmtid="{D5CDD505-2E9C-101B-9397-08002B2CF9AE}" pid="7" name="subtitle">
    <vt:lpwstr>2022 Open Scholarship and Research Impact Challenge</vt:lpwstr>
  </property>
  <property fmtid="{D5CDD505-2E9C-101B-9397-08002B2CF9AE}" pid="8" name="toc-title">
    <vt:lpwstr>Table of contents</vt:lpwstr>
  </property>
</Properties>
</file>