
<file path=[Content_Types].xml><?xml version="1.0" encoding="utf-8"?>
<Types xmlns="http://schemas.openxmlformats.org/package/2006/content-types">
  <Default Extension="xml" ContentType="application/xml"/>
  <Default Extension="rels" ContentType="application/vnd.openxmlformats-package.relationships+xml"/>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media/rId41.png" ContentType="image/png"/>
  <Override PartName="/word/media/rId36.png" ContentType="image/png"/>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Title"/>
      </w:pPr>
      <w:r>
        <w:t xml:space="preserve">Day</w:t>
      </w:r>
      <w:r>
        <w:t xml:space="preserve"> </w:t>
      </w:r>
      <w:r>
        <w:t xml:space="preserve">7:</w:t>
      </w:r>
      <w:r>
        <w:t xml:space="preserve"> </w:t>
      </w:r>
      <w:r>
        <w:t xml:space="preserve">DOIs</w:t>
      </w:r>
    </w:p>
    <w:p>
      <w:pPr>
        <w:pStyle w:val="Subtitle"/>
      </w:pPr>
      <w:r>
        <w:t xml:space="preserve">2022</w:t>
      </w:r>
      <w:r>
        <w:t xml:space="preserve"> </w:t>
      </w:r>
      <w:r>
        <w:t xml:space="preserve">Open</w:t>
      </w:r>
      <w:r>
        <w:t xml:space="preserve"> </w:t>
      </w:r>
      <w:r>
        <w:t xml:space="preserve">Scholarship</w:t>
      </w:r>
      <w:r>
        <w:t xml:space="preserve"> </w:t>
      </w:r>
      <w:r>
        <w:t xml:space="preserve">and</w:t>
      </w:r>
      <w:r>
        <w:t xml:space="preserve"> </w:t>
      </w:r>
      <w:r>
        <w:t xml:space="preserve">Research</w:t>
      </w:r>
      <w:r>
        <w:t xml:space="preserve"> </w:t>
      </w:r>
      <w:r>
        <w:t xml:space="preserve">Impact</w:t>
      </w:r>
      <w:r>
        <w:t xml:space="preserve"> </w:t>
      </w:r>
      <w:r>
        <w:t xml:space="preserve">Challenge</w:t>
      </w:r>
    </w:p>
    <w:p>
      <w:pPr>
        <w:pStyle w:val="Author"/>
      </w:pPr>
      <w:r>
        <w:t xml:space="preserve">Health</w:t>
      </w:r>
      <w:r>
        <w:t xml:space="preserve"> </w:t>
      </w:r>
      <w:r>
        <w:t xml:space="preserve">Sciences</w:t>
      </w:r>
      <w:r>
        <w:t xml:space="preserve"> </w:t>
      </w:r>
      <w:r>
        <w:t xml:space="preserve">Library</w:t>
      </w:r>
      <w:r>
        <w:t xml:space="preserve"> </w:t>
      </w:r>
      <w:r>
        <w:t xml:space="preserve">System</w:t>
      </w:r>
    </w:p>
    <w:p>
      <w:pPr>
        <w:pStyle w:val="Author"/>
      </w:pPr>
      <w:r>
        <w:t xml:space="preserve">University</w:t>
      </w:r>
      <w:r>
        <w:t xml:space="preserve"> </w:t>
      </w:r>
      <w:r>
        <w:t xml:space="preserve">Library</w:t>
      </w:r>
      <w:r>
        <w:t xml:space="preserve"> </w:t>
      </w:r>
      <w:r>
        <w:t xml:space="preserve">System</w:t>
      </w:r>
    </w:p>
    <w:p>
      <w:pPr>
        <w:pStyle w:val="Author"/>
      </w:pPr>
      <w:r>
        <w:t xml:space="preserve">University</w:t>
      </w:r>
      <w:r>
        <w:t xml:space="preserve"> </w:t>
      </w:r>
      <w:r>
        <w:t xml:space="preserve">of</w:t>
      </w:r>
      <w:r>
        <w:t xml:space="preserve"> </w:t>
      </w:r>
      <w:r>
        <w:t xml:space="preserve">Pittsburgh</w:t>
      </w:r>
    </w:p>
    <w:bookmarkStart w:id="22" w:name="introduction"/>
    <w:p>
      <w:pPr>
        <w:pStyle w:val="Heading2"/>
      </w:pPr>
      <w:r>
        <w:t xml:space="preserve">Introduction</w:t>
      </w:r>
    </w:p>
    <w:bookmarkStart w:id="20" w:name="digital-object-identifiers-dois"/>
    <w:p>
      <w:pPr>
        <w:pStyle w:val="Heading3"/>
      </w:pPr>
      <w:r>
        <w:t xml:space="preserve">Digital Object Identifiers (DOIs)</w:t>
      </w:r>
    </w:p>
    <w:p>
      <w:pPr>
        <w:pStyle w:val="FirstParagraph"/>
      </w:pPr>
      <w:r>
        <w:t xml:space="preserve">You might have seen a string of numbers and letters called a Digital Object Identifier (DOI) on journal articles, bibliographic entries, or library records. In particular, you may have noticed that many journals require references to datasets and online articles to include DOIs in the citation. DOIs are critical components of scholarly communication infrastructure. Find out what they are, why they matter, and how to mint DOIs for your own research outputs.</w:t>
      </w:r>
    </w:p>
    <w:bookmarkEnd w:id="20"/>
    <w:bookmarkStart w:id="21" w:name="what-do-dois-do"/>
    <w:p>
      <w:pPr>
        <w:pStyle w:val="Heading3"/>
      </w:pPr>
      <w:r>
        <w:t xml:space="preserve">What do DOIs do?</w:t>
      </w:r>
    </w:p>
    <w:p>
      <w:pPr>
        <w:pStyle w:val="FirstParagraph"/>
      </w:pPr>
      <w:r>
        <w:t xml:space="preserve">A DOI does two main things: it</w:t>
      </w:r>
      <w:r>
        <w:t xml:space="preserve"> </w:t>
      </w:r>
      <w:r>
        <w:rPr>
          <w:bCs/>
          <w:b/>
        </w:rPr>
        <w:t xml:space="preserve">identifies</w:t>
      </w:r>
      <w:r>
        <w:t xml:space="preserve"> </w:t>
      </w:r>
      <w:r>
        <w:t xml:space="preserve">a digital object (like a journal article or dataset) and</w:t>
      </w:r>
      <w:r>
        <w:t xml:space="preserve"> </w:t>
      </w:r>
      <w:r>
        <w:rPr>
          <w:bCs/>
          <w:b/>
        </w:rPr>
        <w:t xml:space="preserve">enables access via the Web</w:t>
      </w:r>
      <w:r>
        <w:t xml:space="preserve"> </w:t>
      </w:r>
      <w:r>
        <w:t xml:space="preserve">to that object, or to information about that object (for example, if an article is behind a publisher paywall.) DOIs are very similar to URLs, in that they both point to locations on the internet. However, DOIs have some key features that make them distinctly useful:</w:t>
      </w:r>
    </w:p>
    <w:p>
      <w:pPr>
        <w:numPr>
          <w:ilvl w:val="0"/>
          <w:numId w:val="1001"/>
        </w:numPr>
        <w:pStyle w:val="Compact"/>
      </w:pPr>
      <w:r>
        <w:rPr>
          <w:bCs/>
          <w:b/>
        </w:rPr>
        <w:t xml:space="preserve">DOIs are persistent</w:t>
      </w:r>
      <w:r>
        <w:t xml:space="preserve">. If you’ve ever followed an old link to see a</w:t>
      </w:r>
      <w:r>
        <w:t xml:space="preserve"> </w:t>
      </w:r>
      <w:r>
        <w:t xml:space="preserve">“</w:t>
      </w:r>
      <w:r>
        <w:t xml:space="preserve">page not found</w:t>
      </w:r>
      <w:r>
        <w:t xml:space="preserve">”</w:t>
      </w:r>
      <w:r>
        <w:t xml:space="preserve"> </w:t>
      </w:r>
      <w:r>
        <w:t xml:space="preserve">error, you know that things on the internet don’t stay up forever. When you link to a digital resource using a DOI, however, you’re much less likely to encounter an issue. That’s because the organizations that maintain DOIs (</w:t>
      </w:r>
      <w:r>
        <w:t xml:space="preserve">“</w:t>
      </w:r>
      <w:r>
        <w:t xml:space="preserve">registries</w:t>
      </w:r>
      <w:r>
        <w:t xml:space="preserve">”</w:t>
      </w:r>
      <w:r>
        <w:t xml:space="preserve">) monitor their system for problems and alert the publisher/creator when they detect a broken link. The publisher/creator also signs an agreement to keep the DOI pointing to the right place.</w:t>
      </w:r>
    </w:p>
    <w:p>
      <w:pPr>
        <w:numPr>
          <w:ilvl w:val="0"/>
          <w:numId w:val="1001"/>
        </w:numPr>
        <w:pStyle w:val="Compact"/>
      </w:pPr>
      <w:r>
        <w:rPr>
          <w:bCs/>
          <w:b/>
        </w:rPr>
        <w:t xml:space="preserve">DOIs are unique</w:t>
      </w:r>
      <w:r>
        <w:t xml:space="preserve">. Are you struggling to keep two papers titled</w:t>
      </w:r>
      <w:r>
        <w:t xml:space="preserve"> </w:t>
      </w:r>
      <w:r>
        <w:t xml:space="preserve">“</w:t>
      </w:r>
      <w:r>
        <w:t xml:space="preserve">Some Observations of Frogs</w:t>
      </w:r>
      <w:r>
        <w:t xml:space="preserve">”</w:t>
      </w:r>
      <w:r>
        <w:t xml:space="preserve"> </w:t>
      </w:r>
      <w:r>
        <w:t xml:space="preserve">straight in your bibliography? Look at the DOIs. Each DOI refers to only one digital object, and any given digital object should have no more than one DOI.</w:t>
      </w:r>
    </w:p>
    <w:p>
      <w:pPr>
        <w:numPr>
          <w:ilvl w:val="0"/>
          <w:numId w:val="1001"/>
        </w:numPr>
        <w:pStyle w:val="Compact"/>
      </w:pPr>
      <w:r>
        <w:rPr>
          <w:bCs/>
          <w:b/>
        </w:rPr>
        <w:t xml:space="preserve">DOIs are associated with information about the object (</w:t>
      </w:r>
      <w:r>
        <w:rPr>
          <w:bCs/>
          <w:b/>
        </w:rPr>
        <w:t xml:space="preserve">“</w:t>
      </w:r>
      <w:r>
        <w:rPr>
          <w:bCs/>
          <w:b/>
        </w:rPr>
        <w:t xml:space="preserve">metadata</w:t>
      </w:r>
      <w:r>
        <w:rPr>
          <w:bCs/>
          <w:b/>
        </w:rPr>
        <w:t xml:space="preserve">”</w:t>
      </w:r>
      <w:r>
        <w:rPr>
          <w:bCs/>
          <w:b/>
        </w:rPr>
        <w:t xml:space="preserve">)</w:t>
      </w:r>
      <w:r>
        <w:t xml:space="preserve">. Even if the digital object behind a DOI disappears (for example, a paper is retracted or a dataset is withdrawn from a repository), you can still look up information about it through the DOI registry. When a publisher/creator makes (</w:t>
      </w:r>
      <w:r>
        <w:t xml:space="preserve">“</w:t>
      </w:r>
      <w:r>
        <w:t xml:space="preserve">mints</w:t>
      </w:r>
      <w:r>
        <w:t xml:space="preserve">”</w:t>
      </w:r>
      <w:r>
        <w:t xml:space="preserve">) a DOI, they give one of these registries some basic information about the object: its title, its creators, what kind of thing it is, and a simple description. This metadata will always be available.</w:t>
      </w:r>
    </w:p>
    <w:bookmarkEnd w:id="21"/>
    <w:bookmarkEnd w:id="22"/>
    <w:bookmarkStart w:id="34" w:name="activities"/>
    <w:p>
      <w:pPr>
        <w:pStyle w:val="Heading2"/>
      </w:pPr>
      <w:r>
        <w:t xml:space="preserve">Activities</w:t>
      </w:r>
    </w:p>
    <w:p>
      <w:pPr>
        <w:pStyle w:val="FirstParagraph"/>
      </w:pPr>
      <w:r>
        <w:t xml:space="preserve">If you need help completing these activities, review the information in the</w:t>
      </w:r>
      <w:r>
        <w:t xml:space="preserve"> </w:t>
      </w:r>
      <w:hyperlink w:anchor="learning-content">
        <w:r>
          <w:rPr>
            <w:rStyle w:val="Hyperlink"/>
          </w:rPr>
          <w:t xml:space="preserve">Learning Content</w:t>
        </w:r>
      </w:hyperlink>
      <w:r>
        <w:t xml:space="preserve"> </w:t>
      </w:r>
      <w:r>
        <w:t xml:space="preserve">section below.</w:t>
      </w:r>
    </w:p>
    <w:p>
      <w:pPr>
        <w:pStyle w:val="BodyText"/>
      </w:pPr>
      <w:r>
        <w:t xml:space="preserve">Please fill out this form after completing 1 or more of today’s activities. [link removed] The more daily tasks you complete, the larger impact you may have on your own research/scholarship and the more chances you will have to win a prize for participation in the 2022 Impact Challenge.</w:t>
      </w:r>
    </w:p>
    <w:bookmarkStart w:id="28" w:name="activity-1"/>
    <w:p>
      <w:pPr>
        <w:pStyle w:val="Heading3"/>
      </w:pPr>
      <w:r>
        <w:t xml:space="preserve">Activity 1</w:t>
      </w:r>
    </w:p>
    <w:p>
      <w:pPr>
        <w:pStyle w:val="FirstParagraph"/>
      </w:pPr>
      <w:r>
        <w:rPr>
          <w:bCs/>
          <w:b/>
        </w:rPr>
        <w:t xml:space="preserve">Option A</w:t>
      </w:r>
      <w:r>
        <w:t xml:space="preserve">: Add an article to your reference manager (e.g., Zotero or EndNote) using its DOI and watch it pull in metadata via</w:t>
      </w:r>
      <w:r>
        <w:t xml:space="preserve"> </w:t>
      </w:r>
      <w:hyperlink r:id="rId23">
        <w:r>
          <w:rPr>
            <w:rStyle w:val="Hyperlink"/>
          </w:rPr>
          <w:t xml:space="preserve">Crossref’s Metadata Search</w:t>
        </w:r>
      </w:hyperlink>
      <w:r>
        <w:t xml:space="preserve">. If you don’t use a reference manager already, try one out! We have a guide for</w:t>
      </w:r>
      <w:r>
        <w:t xml:space="preserve"> </w:t>
      </w:r>
      <w:hyperlink r:id="rId24">
        <w:r>
          <w:rPr>
            <w:rStyle w:val="Hyperlink"/>
          </w:rPr>
          <w:t xml:space="preserve">getting started with Zotero</w:t>
        </w:r>
      </w:hyperlink>
      <w:r>
        <w:t xml:space="preserve"> </w:t>
      </w:r>
      <w:r>
        <w:t xml:space="preserve">and</w:t>
      </w:r>
      <w:r>
        <w:t xml:space="preserve"> </w:t>
      </w:r>
      <w:hyperlink r:id="rId25">
        <w:r>
          <w:rPr>
            <w:rStyle w:val="Hyperlink"/>
          </w:rPr>
          <w:t xml:space="preserve">one for using Endnote</w:t>
        </w:r>
      </w:hyperlink>
      <w:r>
        <w:t xml:space="preserve">, including a comparison of the two tools.</w:t>
      </w:r>
    </w:p>
    <w:p>
      <w:pPr>
        <w:pStyle w:val="BodyText"/>
      </w:pPr>
      <w:r>
        <w:rPr>
          <w:bCs/>
          <w:b/>
        </w:rPr>
        <w:t xml:space="preserve">Option B</w:t>
      </w:r>
      <w:r>
        <w:t xml:space="preserve">: Take a list of articles and get their DOIs using Crossref’s</w:t>
      </w:r>
      <w:r>
        <w:t xml:space="preserve"> </w:t>
      </w:r>
      <w:hyperlink r:id="rId26">
        <w:r>
          <w:rPr>
            <w:rStyle w:val="Hyperlink"/>
          </w:rPr>
          <w:t xml:space="preserve">Simple Text Query</w:t>
        </w:r>
      </w:hyperlink>
      <w:r>
        <w:t xml:space="preserve"> </w:t>
      </w:r>
      <w:r>
        <w:t xml:space="preserve">tool. This is ideal for looking up lots of DOIs at once when submitting a reference list that requires DOIs.</w:t>
      </w:r>
    </w:p>
    <w:p>
      <w:pPr>
        <w:pStyle w:val="BodyText"/>
      </w:pPr>
      <w:r>
        <w:t xml:space="preserve">Tip: including DOIs in references isn’t just to comply with journal formatting requirements. It also enables various research metric tools to do their work, by tracking which DOIs get referenced where. Furthermore, it’s the only way to accurately cite datasets. Read more about citing data</w:t>
      </w:r>
      <w:r>
        <w:t xml:space="preserve"> </w:t>
      </w:r>
      <w:hyperlink r:id="rId27">
        <w:r>
          <w:rPr>
            <w:rStyle w:val="Hyperlink"/>
          </w:rPr>
          <w:t xml:space="preserve">here</w:t>
        </w:r>
      </w:hyperlink>
      <w:r>
        <w:t xml:space="preserve">.</w:t>
      </w:r>
    </w:p>
    <w:bookmarkEnd w:id="28"/>
    <w:bookmarkStart w:id="30" w:name="activity-2"/>
    <w:p>
      <w:pPr>
        <w:pStyle w:val="Heading3"/>
      </w:pPr>
      <w:r>
        <w:t xml:space="preserve">Activity 2</w:t>
      </w:r>
    </w:p>
    <w:p>
      <w:pPr>
        <w:pStyle w:val="FirstParagraph"/>
      </w:pPr>
      <w:r>
        <w:t xml:space="preserve">If you’ve published an article, chances are good that it has a journal-assigned DOI. But DOIs are available for datasets, conference presentations, learning objects, videos, software packages and scripts, and almost any other kind of scholarly product.Creators usually get DOIs for these materials by depositing them in repositories, which is the subject of Day 8 in this challenge. We’ll have a hands-on activity for depositing in a repository tomorrow.</w:t>
      </w:r>
    </w:p>
    <w:p>
      <w:pPr>
        <w:pStyle w:val="BodyText"/>
      </w:pPr>
      <w:r>
        <w:t xml:space="preserve">Today, take 3 minutes to search in the</w:t>
      </w:r>
      <w:r>
        <w:t xml:space="preserve"> </w:t>
      </w:r>
      <w:hyperlink r:id="rId29">
        <w:r>
          <w:rPr>
            <w:rStyle w:val="Hyperlink"/>
          </w:rPr>
          <w:t xml:space="preserve">Zenodo repository</w:t>
        </w:r>
      </w:hyperlink>
      <w:r>
        <w:t xml:space="preserve"> </w:t>
      </w:r>
      <w:r>
        <w:t xml:space="preserve">to find the most surprising, funniest, or most interesting non-article object you can find. (Hint: use the filters on the left to choose a dataset, software, or anything but</w:t>
      </w:r>
      <w:r>
        <w:t xml:space="preserve"> </w:t>
      </w:r>
      <w:r>
        <w:t xml:space="preserve">“</w:t>
      </w:r>
      <w:r>
        <w:t xml:space="preserve">publication.</w:t>
      </w:r>
      <w:r>
        <w:t xml:space="preserve">”</w:t>
      </w:r>
      <w:r>
        <w:t xml:space="preserve">) Clicking the title will open the object’s record, where you will find the DOI. Submit your chosen non-publication DOI through the participation form [link removed].</w:t>
      </w:r>
    </w:p>
    <w:bookmarkEnd w:id="30"/>
    <w:bookmarkStart w:id="33" w:name="activity-3"/>
    <w:p>
      <w:pPr>
        <w:pStyle w:val="Heading3"/>
      </w:pPr>
      <w:r>
        <w:t xml:space="preserve">Activity 3</w:t>
      </w:r>
    </w:p>
    <w:p>
      <w:pPr>
        <w:pStyle w:val="FirstParagraph"/>
      </w:pPr>
      <w:r>
        <w:t xml:space="preserve">Join us for office hours and chat with a librarian about DOIs and anything related to digital identifiers for articles, software, data and more! You are welcome to drop in anytime.</w:t>
      </w:r>
    </w:p>
    <w:p>
      <w:pPr>
        <w:numPr>
          <w:ilvl w:val="0"/>
          <w:numId w:val="1002"/>
        </w:numPr>
        <w:pStyle w:val="Compact"/>
      </w:pPr>
      <w:r>
        <w:rPr>
          <w:bCs/>
          <w:b/>
        </w:rPr>
        <w:t xml:space="preserve">Date:</w:t>
      </w:r>
      <w:r>
        <w:t xml:space="preserve"> </w:t>
      </w:r>
      <w:r>
        <w:t xml:space="preserve">April 5, 2-4pm</w:t>
      </w:r>
    </w:p>
    <w:p>
      <w:pPr>
        <w:numPr>
          <w:ilvl w:val="0"/>
          <w:numId w:val="1002"/>
        </w:numPr>
        <w:pStyle w:val="Compact"/>
      </w:pPr>
      <w:r>
        <w:rPr>
          <w:bCs/>
          <w:b/>
        </w:rPr>
        <w:t xml:space="preserve">Librarians:</w:t>
      </w:r>
      <w:r>
        <w:t xml:space="preserve"> </w:t>
      </w:r>
      <w:hyperlink r:id="rId31">
        <w:r>
          <w:rPr>
            <w:rStyle w:val="Hyperlink"/>
          </w:rPr>
          <w:t xml:space="preserve">Dominic Bordelon</w:t>
        </w:r>
      </w:hyperlink>
      <w:r>
        <w:t xml:space="preserve"> </w:t>
      </w:r>
      <w:r>
        <w:t xml:space="preserve">and</w:t>
      </w:r>
      <w:r>
        <w:t xml:space="preserve"> </w:t>
      </w:r>
      <w:hyperlink r:id="rId32">
        <w:r>
          <w:rPr>
            <w:rStyle w:val="Hyperlink"/>
          </w:rPr>
          <w:t xml:space="preserve">Helenmary Sheridan</w:t>
        </w:r>
      </w:hyperlink>
    </w:p>
    <w:p>
      <w:pPr>
        <w:numPr>
          <w:ilvl w:val="0"/>
          <w:numId w:val="1002"/>
        </w:numPr>
        <w:pStyle w:val="Compact"/>
      </w:pPr>
      <w:r>
        <w:rPr>
          <w:bCs/>
          <w:b/>
        </w:rPr>
        <w:t xml:space="preserve">Zoom meeting:</w:t>
      </w:r>
      <w:r>
        <w:t xml:space="preserve"> </w:t>
      </w:r>
      <w:r>
        <w:t xml:space="preserve">[link removed]</w:t>
      </w:r>
    </w:p>
    <w:bookmarkEnd w:id="33"/>
    <w:bookmarkEnd w:id="34"/>
    <w:bookmarkStart w:id="54" w:name="learning-content"/>
    <w:p>
      <w:pPr>
        <w:pStyle w:val="Heading2"/>
      </w:pPr>
      <w:r>
        <w:t xml:space="preserve">Learning Content</w:t>
      </w:r>
    </w:p>
    <w:bookmarkStart w:id="45" w:name="doi-definitions"/>
    <w:p>
      <w:pPr>
        <w:pStyle w:val="Heading3"/>
      </w:pPr>
      <w:r>
        <w:t xml:space="preserve">DOI Definitions</w:t>
      </w:r>
    </w:p>
    <w:p>
      <w:pPr>
        <w:pStyle w:val="FirstParagraph"/>
      </w:pPr>
      <w:r>
        <w:t xml:space="preserve">Digital Object Identifiers (DOIs) are a type of</w:t>
      </w:r>
      <w:r>
        <w:t xml:space="preserve"> </w:t>
      </w:r>
      <w:r>
        <w:rPr>
          <w:bCs/>
          <w:b/>
        </w:rPr>
        <w:t xml:space="preserve">persistent identifier</w:t>
      </w:r>
      <w:r>
        <w:t xml:space="preserve"> </w:t>
      </w:r>
      <w:r>
        <w:t xml:space="preserve">that can be assigned to an article, dataset, or other such resource.</w:t>
      </w:r>
    </w:p>
    <w:p>
      <w:pPr>
        <w:pStyle w:val="BodyText"/>
      </w:pPr>
      <w:r>
        <w:t xml:space="preserve">They are an identifier because:</w:t>
      </w:r>
    </w:p>
    <w:p>
      <w:pPr>
        <w:numPr>
          <w:ilvl w:val="0"/>
          <w:numId w:val="1003"/>
        </w:numPr>
        <w:pStyle w:val="Compact"/>
      </w:pPr>
      <w:r>
        <w:t xml:space="preserve">each DOI is unique</w:t>
      </w:r>
    </w:p>
    <w:p>
      <w:pPr>
        <w:numPr>
          <w:ilvl w:val="0"/>
          <w:numId w:val="1003"/>
        </w:numPr>
        <w:pStyle w:val="Compact"/>
      </w:pPr>
      <w:r>
        <w:t xml:space="preserve">each DOI is registered at doi.org, and is accessible via</w:t>
      </w:r>
      <w:r>
        <w:t xml:space="preserve"> </w:t>
      </w:r>
      <w:r>
        <w:rPr>
          <w:u w:val="single"/>
        </w:rPr>
        <w:t xml:space="preserve">https://doi.org/</w:t>
      </w:r>
      <w:r>
        <w:t xml:space="preserve"> </w:t>
      </w:r>
      <w:r>
        <w:t xml:space="preserve">followed by the identifier. So</w:t>
      </w:r>
      <w:r>
        <w:t xml:space="preserve"> </w:t>
      </w:r>
      <w:r>
        <w:rPr>
          <w:bCs/>
          <w:b/>
        </w:rPr>
        <w:t xml:space="preserve">every DOI is also a URL ( = web address).</w:t>
      </w:r>
    </w:p>
    <w:p>
      <w:pPr>
        <w:pStyle w:val="FirstParagraph"/>
      </w:pPr>
      <w:r>
        <w:t xml:space="preserve">They are persistent because:</w:t>
      </w:r>
    </w:p>
    <w:p>
      <w:pPr>
        <w:numPr>
          <w:ilvl w:val="0"/>
          <w:numId w:val="1004"/>
        </w:numPr>
        <w:pStyle w:val="Compact"/>
      </w:pPr>
      <w:r>
        <w:t xml:space="preserve">a DOI does not change once created (although its</w:t>
      </w:r>
      <w:r>
        <w:t xml:space="preserve"> </w:t>
      </w:r>
      <w:r>
        <w:rPr>
          <w:iCs/>
          <w:i/>
        </w:rPr>
        <w:t xml:space="preserve">content</w:t>
      </w:r>
      <w:r>
        <w:t xml:space="preserve"> </w:t>
      </w:r>
      <w:r>
        <w:t xml:space="preserve">may change somewhat)</w:t>
      </w:r>
    </w:p>
    <w:p>
      <w:pPr>
        <w:numPr>
          <w:ilvl w:val="0"/>
          <w:numId w:val="1004"/>
        </w:numPr>
        <w:pStyle w:val="Compact"/>
      </w:pPr>
      <w:r>
        <w:t xml:space="preserve">the publisher of a DOI promises keep the doi.org link resolvable in perpetuity (and the infrastructure and record-keeping this entails)</w:t>
      </w:r>
    </w:p>
    <w:p>
      <w:pPr>
        <w:numPr>
          <w:ilvl w:val="0"/>
          <w:numId w:val="1004"/>
        </w:numPr>
        <w:pStyle w:val="Compact"/>
      </w:pPr>
      <w:r>
        <w:t xml:space="preserve">unlike the vast majority of URLs (web addresses), they are meant to be truly permanent addresses.</w:t>
      </w:r>
    </w:p>
    <w:p>
      <w:pPr>
        <w:pStyle w:val="FirstParagraph"/>
      </w:pPr>
      <w:r>
        <w:t xml:space="preserve">When the user visits</w:t>
      </w:r>
      <w:r>
        <w:t xml:space="preserve"> </w:t>
      </w:r>
      <w:r>
        <w:rPr>
          <w:u w:val="single"/>
        </w:rPr>
        <w:t xml:space="preserve">https://doi.org/&lt;DOI&gt;</w:t>
      </w:r>
      <w:r>
        <w:t xml:space="preserve"> </w:t>
      </w:r>
      <w:r>
        <w:t xml:space="preserve">(where &lt;DOI&gt; is a registered DOI), their browser redirects them to the publisher of the resource to which that DOI is assigned. This lookup/redirection is also said to be</w:t>
      </w:r>
      <w:r>
        <w:t xml:space="preserve"> </w:t>
      </w:r>
      <w:r>
        <w:t xml:space="preserve">“</w:t>
      </w:r>
      <w:r>
        <w:rPr>
          <w:bCs/>
          <w:b/>
        </w:rPr>
        <w:t xml:space="preserve">resolving</w:t>
      </w:r>
      <w:r>
        <w:t xml:space="preserve">”</w:t>
      </w:r>
      <w:r>
        <w:t xml:space="preserve"> </w:t>
      </w:r>
      <w:r>
        <w:t xml:space="preserve">the DOI. More specifically, the DOI resolves to a</w:t>
      </w:r>
      <w:r>
        <w:t xml:space="preserve"> </w:t>
      </w:r>
      <w:r>
        <w:rPr>
          <w:bCs/>
          <w:b/>
        </w:rPr>
        <w:t xml:space="preserve">landing page</w:t>
      </w:r>
      <w:r>
        <w:t xml:space="preserve"> </w:t>
      </w:r>
      <w:r>
        <w:t xml:space="preserve">which describes the resource of interest. This landing page will typically have</w:t>
      </w:r>
      <w:r>
        <w:t xml:space="preserve"> </w:t>
      </w:r>
      <w:r>
        <w:rPr>
          <w:bCs/>
          <w:b/>
        </w:rPr>
        <w:t xml:space="preserve">metadata</w:t>
      </w:r>
      <w:r>
        <w:t xml:space="preserve"> </w:t>
      </w:r>
      <w:r>
        <w:t xml:space="preserve">describing the resource, such as creator, title, date, and abstract, as well as a link to download the resource file (e.g., a PDF, if the resource is an article).</w:t>
      </w:r>
    </w:p>
    <w:bookmarkStart w:id="39" w:name="example-1"/>
    <w:p>
      <w:pPr>
        <w:pStyle w:val="Heading4"/>
      </w:pPr>
      <w:r>
        <w:t xml:space="preserve">EXAMPLE 1</w:t>
      </w:r>
    </w:p>
    <w:p>
      <w:pPr>
        <w:pStyle w:val="FirstParagraph"/>
      </w:pPr>
      <w:r>
        <w:t xml:space="preserve">The DOI 10.1111/een.12932 is assigned to the paper</w:t>
      </w:r>
      <w:r>
        <w:t xml:space="preserve"> </w:t>
      </w:r>
      <w:r>
        <w:t xml:space="preserve">“</w:t>
      </w:r>
      <w:r>
        <w:t xml:space="preserve">Preference, performance, and impact of the water-lily aphid on multiple species of duckweed</w:t>
      </w:r>
      <w:r>
        <w:t xml:space="preserve">”</w:t>
      </w:r>
      <w:r>
        <w:t xml:space="preserve"> </w:t>
      </w:r>
      <w:r>
        <w:t xml:space="preserve">by Subramanian and Turcotte (2020), published in</w:t>
      </w:r>
      <w:r>
        <w:t xml:space="preserve"> </w:t>
      </w:r>
      <w:r>
        <w:rPr>
          <w:iCs/>
          <w:i/>
        </w:rPr>
        <w:t xml:space="preserve">Ecological Entomology</w:t>
      </w:r>
      <w:r>
        <w:t xml:space="preserve">. Note that 10.1111/een.12932 has no meaning of its own. However, if I visit</w:t>
      </w:r>
      <w:r>
        <w:t xml:space="preserve"> </w:t>
      </w:r>
      <w:hyperlink r:id="rId35">
        <w:r>
          <w:rPr>
            <w:rStyle w:val="VerbatimChar"/>
            <w:bCs/>
            <w:b/>
          </w:rPr>
          <w:t xml:space="preserve">https://doi.org/10.1111/een.12932</w:t>
        </w:r>
      </w:hyperlink>
      <w:r>
        <w:t xml:space="preserve">, I will find myself on the landing page for this article.</w:t>
      </w:r>
    </w:p>
    <w:p>
      <w:pPr>
        <w:pStyle w:val="BodyText"/>
      </w:pPr>
      <w:r>
        <w:drawing>
          <wp:inline>
            <wp:extent cx="5334000" cy="3405818"/>
            <wp:effectExtent b="0" l="0" r="0" t="0"/>
            <wp:docPr descr="" title="" id="37" name="Picture"/>
            <a:graphic>
              <a:graphicData uri="http://schemas.openxmlformats.org/drawingml/2006/picture">
                <pic:pic>
                  <pic:nvPicPr>
                    <pic:cNvPr descr="assets/wiley.png" id="38" name="Picture"/>
                    <pic:cNvPicPr>
                      <a:picLocks noChangeArrowheads="1" noChangeAspect="1"/>
                    </pic:cNvPicPr>
                  </pic:nvPicPr>
                  <pic:blipFill>
                    <a:blip r:embed="rId36"/>
                    <a:stretch>
                      <a:fillRect/>
                    </a:stretch>
                  </pic:blipFill>
                  <pic:spPr bwMode="auto">
                    <a:xfrm>
                      <a:off x="0" y="0"/>
                      <a:ext cx="5334000" cy="3405818"/>
                    </a:xfrm>
                    <a:prstGeom prst="rect">
                      <a:avLst/>
                    </a:prstGeom>
                    <a:noFill/>
                    <a:ln w="9525">
                      <a:noFill/>
                      <a:headEnd/>
                      <a:tailEnd/>
                    </a:ln>
                  </pic:spPr>
                </pic:pic>
              </a:graphicData>
            </a:graphic>
          </wp:inline>
        </w:drawing>
      </w:r>
    </w:p>
    <w:p>
      <w:pPr>
        <w:pStyle w:val="BodyText"/>
      </w:pPr>
      <w:r>
        <w:t xml:space="preserve">Things to note:</w:t>
      </w:r>
    </w:p>
    <w:p>
      <w:pPr>
        <w:numPr>
          <w:ilvl w:val="0"/>
          <w:numId w:val="1005"/>
        </w:numPr>
        <w:pStyle w:val="Compact"/>
      </w:pPr>
      <w:r>
        <w:t xml:space="preserve">Your browser is no longer at doi.org, but has been redirected to a completely different URL at wiley.com (the publisher)–this is expected and OK.</w:t>
      </w:r>
    </w:p>
    <w:p>
      <w:pPr>
        <w:numPr>
          <w:ilvl w:val="0"/>
          <w:numId w:val="1005"/>
        </w:numPr>
        <w:pStyle w:val="Compact"/>
      </w:pPr>
      <w:r>
        <w:t xml:space="preserve">Landing pages often have extra features like a citation generator, linkage to articles which cite the resource of interest, or downloadable supplemental figures; have a look around!</w:t>
      </w:r>
    </w:p>
    <w:bookmarkEnd w:id="39"/>
    <w:bookmarkStart w:id="44" w:name="example-2"/>
    <w:p>
      <w:pPr>
        <w:pStyle w:val="Heading4"/>
      </w:pPr>
      <w:r>
        <w:t xml:space="preserve">EXAMPLE 2</w:t>
      </w:r>
    </w:p>
    <w:p>
      <w:pPr>
        <w:pStyle w:val="FirstParagraph"/>
      </w:pPr>
      <w:r>
        <w:t xml:space="preserve">The DOI 10.18117/8e7r-xw15 is assigned to a dataset deposited in D-Scholarship, Pitt’s institutional repository. Visiting</w:t>
      </w:r>
      <w:r>
        <w:t xml:space="preserve"> </w:t>
      </w:r>
      <w:hyperlink r:id="rId40">
        <w:r>
          <w:rPr>
            <w:rStyle w:val="VerbatimChar"/>
            <w:bCs/>
            <w:b/>
          </w:rPr>
          <w:t xml:space="preserve">https://doi.org/10.18117/8e7r-xw15</w:t>
        </w:r>
      </w:hyperlink>
      <w:r>
        <w:t xml:space="preserve"> </w:t>
      </w:r>
      <w:r>
        <w:t xml:space="preserve">brings me to the dataset’s landing page:</w:t>
      </w:r>
    </w:p>
    <w:p>
      <w:pPr>
        <w:pStyle w:val="BodyText"/>
      </w:pPr>
      <w:r>
        <w:drawing>
          <wp:inline>
            <wp:extent cx="5334000" cy="3109655"/>
            <wp:effectExtent b="0" l="0" r="0" t="0"/>
            <wp:docPr descr="" title="" id="42" name="Picture"/>
            <a:graphic>
              <a:graphicData uri="http://schemas.openxmlformats.org/drawingml/2006/picture">
                <pic:pic>
                  <pic:nvPicPr>
                    <pic:cNvPr descr="assets/UPitt.png" id="43" name="Picture"/>
                    <pic:cNvPicPr>
                      <a:picLocks noChangeArrowheads="1" noChangeAspect="1"/>
                    </pic:cNvPicPr>
                  </pic:nvPicPr>
                  <pic:blipFill>
                    <a:blip r:embed="rId41"/>
                    <a:stretch>
                      <a:fillRect/>
                    </a:stretch>
                  </pic:blipFill>
                  <pic:spPr bwMode="auto">
                    <a:xfrm>
                      <a:off x="0" y="0"/>
                      <a:ext cx="5334000" cy="3109655"/>
                    </a:xfrm>
                    <a:prstGeom prst="rect">
                      <a:avLst/>
                    </a:prstGeom>
                    <a:noFill/>
                    <a:ln w="9525">
                      <a:noFill/>
                      <a:headEnd/>
                      <a:tailEnd/>
                    </a:ln>
                  </pic:spPr>
                </pic:pic>
              </a:graphicData>
            </a:graphic>
          </wp:inline>
        </w:drawing>
      </w:r>
    </w:p>
    <w:bookmarkEnd w:id="44"/>
    <w:bookmarkEnd w:id="45"/>
    <w:bookmarkStart w:id="48" w:name="using-dois-as-a-reader"/>
    <w:p>
      <w:pPr>
        <w:pStyle w:val="Heading3"/>
      </w:pPr>
      <w:r>
        <w:t xml:space="preserve">Using DOIs as a reader</w:t>
      </w:r>
    </w:p>
    <w:p>
      <w:pPr>
        <w:pStyle w:val="FirstParagraph"/>
      </w:pPr>
      <w:r>
        <w:t xml:space="preserve">As a reader, DOIs are very easy to use! Anytime you see a DOI, you can visit its content at https://doi.org/&lt;DOI&gt;.</w:t>
      </w:r>
    </w:p>
    <w:p>
      <w:pPr>
        <w:pStyle w:val="BodyText"/>
      </w:pPr>
      <w:r>
        <w:t xml:space="preserve">Want to save a resource for later? DOIs work with citation managers such as</w:t>
      </w:r>
      <w:r>
        <w:t xml:space="preserve"> </w:t>
      </w:r>
      <w:hyperlink r:id="rId46">
        <w:r>
          <w:rPr>
            <w:rStyle w:val="Hyperlink"/>
          </w:rPr>
          <w:t xml:space="preserve">Zotero</w:t>
        </w:r>
      </w:hyperlink>
      <w:r>
        <w:t xml:space="preserve"> </w:t>
      </w:r>
      <w:r>
        <w:t xml:space="preserve">and</w:t>
      </w:r>
      <w:r>
        <w:t xml:space="preserve"> </w:t>
      </w:r>
      <w:hyperlink r:id="rId47">
        <w:r>
          <w:rPr>
            <w:rStyle w:val="Hyperlink"/>
          </w:rPr>
          <w:t xml:space="preserve">EndNote</w:t>
        </w:r>
      </w:hyperlink>
      <w:r>
        <w:t xml:space="preserve">! Simply paste a DOI in, and a new entry will be created with all of the resource’s metadata.</w:t>
      </w:r>
    </w:p>
    <w:p>
      <w:pPr>
        <w:pStyle w:val="BodyText"/>
      </w:pPr>
      <w:r>
        <w:t xml:space="preserve">Want to share an article via email or twitter? The easiest way is to use the doi.org URL. As an added bonus, this URL should still work in several years’ time.</w:t>
      </w:r>
    </w:p>
    <w:bookmarkEnd w:id="48"/>
    <w:bookmarkStart w:id="53" w:name="using-dois-as-a-creator"/>
    <w:p>
      <w:pPr>
        <w:pStyle w:val="Heading3"/>
      </w:pPr>
      <w:r>
        <w:t xml:space="preserve">Using DOIs as a creator</w:t>
      </w:r>
    </w:p>
    <w:p>
      <w:pPr>
        <w:pStyle w:val="FirstParagraph"/>
      </w:pPr>
      <w:r>
        <w:t xml:space="preserve">As a creator, getting a DOI for your content involves some more steps (but only a few). Getting a DOI is a matter of publishing your content with a publisher, repository, or data center which has the ability to register or</w:t>
      </w:r>
      <w:r>
        <w:t xml:space="preserve"> </w:t>
      </w:r>
      <w:r>
        <w:t xml:space="preserve">“</w:t>
      </w:r>
      <w:r>
        <w:rPr>
          <w:bCs/>
          <w:b/>
        </w:rPr>
        <w:t xml:space="preserve">mint</w:t>
      </w:r>
      <w:r>
        <w:t xml:space="preserve">”</w:t>
      </w:r>
      <w:r>
        <w:t xml:space="preserve"> </w:t>
      </w:r>
      <w:r>
        <w:t xml:space="preserve">DOIs. (This ability is a contractual agreement between the publisher and one of several DOI Registration Authorities, who all share and maintain a global registry at doi.org.)</w:t>
      </w:r>
    </w:p>
    <w:p>
      <w:pPr>
        <w:pStyle w:val="BodyText"/>
      </w:pPr>
      <w:r>
        <w:t xml:space="preserve">Typically, DOIs are</w:t>
      </w:r>
      <w:r>
        <w:t xml:space="preserve"> </w:t>
      </w:r>
      <w:r>
        <w:rPr>
          <w:iCs/>
          <w:i/>
        </w:rPr>
        <w:t xml:space="preserve">not</w:t>
      </w:r>
      <w:r>
        <w:t xml:space="preserve"> </w:t>
      </w:r>
      <w:r>
        <w:t xml:space="preserve">minted for manuscripts prior to peer review, but are for preprint and published versions. (Protocols posted on a platform like</w:t>
      </w:r>
      <w:r>
        <w:t xml:space="preserve"> </w:t>
      </w:r>
      <w:hyperlink r:id="rId49">
        <w:r>
          <w:rPr>
            <w:rStyle w:val="Hyperlink"/>
          </w:rPr>
          <w:t xml:space="preserve">protocols.io</w:t>
        </w:r>
      </w:hyperlink>
      <w:r>
        <w:t xml:space="preserve"> </w:t>
      </w:r>
      <w:r>
        <w:t xml:space="preserve">can also get their own DOI.) These two versions of an article will receive different DOIs, but the landing pages for each should refer to the other in the metadata. That is, a preprint posted on BioRxiv will receive its own DOI, and then the final publication in</w:t>
      </w:r>
      <w:r>
        <w:t xml:space="preserve"> </w:t>
      </w:r>
      <w:r>
        <w:rPr>
          <w:iCs/>
          <w:i/>
        </w:rPr>
        <w:t xml:space="preserve">Nature</w:t>
      </w:r>
      <w:r>
        <w:t xml:space="preserve"> </w:t>
      </w:r>
      <w:r>
        <w:t xml:space="preserve">will receive a separate DOI. The preprint DOI will always direct to the preprint, helping to maintain a record of the chain of events in the scholarly publishing process.</w:t>
      </w:r>
    </w:p>
    <w:p>
      <w:pPr>
        <w:pStyle w:val="BodyText"/>
      </w:pPr>
      <w:r>
        <w:t xml:space="preserve">Ways to get a DOI for your work:</w:t>
      </w:r>
    </w:p>
    <w:p>
      <w:pPr>
        <w:numPr>
          <w:ilvl w:val="0"/>
          <w:numId w:val="1006"/>
        </w:numPr>
        <w:pStyle w:val="Compact"/>
      </w:pPr>
      <w:r>
        <w:t xml:space="preserve">Fortunately, most academic publishers automatically mint a DOI for every article. If your article is accepted for publication, you don’t have to do anything in this case.</w:t>
      </w:r>
    </w:p>
    <w:p>
      <w:pPr>
        <w:numPr>
          <w:ilvl w:val="0"/>
          <w:numId w:val="1006"/>
        </w:numPr>
        <w:pStyle w:val="Compact"/>
      </w:pPr>
      <w:hyperlink r:id="rId50">
        <w:r>
          <w:rPr>
            <w:rStyle w:val="Hyperlink"/>
          </w:rPr>
          <w:t xml:space="preserve">D-Scholarship</w:t>
        </w:r>
      </w:hyperlink>
      <w:r>
        <w:t xml:space="preserve">, Pitt’s institutional repository for research outputs, accepts deposits from all Pitt affiliates, and mints DOIs upon request. D-Scholarship can also accept preprint versions of articles, so that you can publish Open-Access, even if your publisher does not!</w:t>
      </w:r>
    </w:p>
    <w:p>
      <w:pPr>
        <w:numPr>
          <w:ilvl w:val="0"/>
          <w:numId w:val="1006"/>
        </w:numPr>
        <w:pStyle w:val="Compact"/>
      </w:pPr>
      <w:r>
        <w:t xml:space="preserve">Many repositories such as</w:t>
      </w:r>
      <w:r>
        <w:t xml:space="preserve"> </w:t>
      </w:r>
      <w:hyperlink r:id="rId51">
        <w:r>
          <w:rPr>
            <w:rStyle w:val="Hyperlink"/>
          </w:rPr>
          <w:t xml:space="preserve">Figshare</w:t>
        </w:r>
      </w:hyperlink>
      <w:r>
        <w:t xml:space="preserve"> </w:t>
      </w:r>
      <w:r>
        <w:t xml:space="preserve">and</w:t>
      </w:r>
      <w:r>
        <w:t xml:space="preserve"> </w:t>
      </w:r>
      <w:hyperlink r:id="rId52">
        <w:r>
          <w:rPr>
            <w:rStyle w:val="Hyperlink"/>
          </w:rPr>
          <w:t xml:space="preserve">Zenodo</w:t>
        </w:r>
      </w:hyperlink>
      <w:r>
        <w:t xml:space="preserve"> </w:t>
      </w:r>
      <w:r>
        <w:t xml:space="preserve">automatically create a DOI for each deposit. If you are evaluating repositories to choose the best host for your research work, check to see whether they offer DOIs.</w:t>
      </w:r>
    </w:p>
    <w:bookmarkEnd w:id="53"/>
    <w:bookmarkEnd w:id="54"/>
    <w:bookmarkStart w:id="58" w:name="additional-resources"/>
    <w:p>
      <w:pPr>
        <w:pStyle w:val="Heading2"/>
      </w:pPr>
      <w:r>
        <w:t xml:space="preserve">Additional Resources</w:t>
      </w:r>
    </w:p>
    <w:p>
      <w:pPr>
        <w:numPr>
          <w:ilvl w:val="0"/>
          <w:numId w:val="1007"/>
        </w:numPr>
        <w:pStyle w:val="Compact"/>
      </w:pPr>
      <w:hyperlink r:id="rId55">
        <w:r>
          <w:rPr>
            <w:rStyle w:val="Hyperlink"/>
          </w:rPr>
          <w:t xml:space="preserve">DOI® Handbook</w:t>
        </w:r>
      </w:hyperlink>
      <w:r>
        <w:t xml:space="preserve">, from the International DOI Foundation: the official guide to everything about DOIs, aimed largely at developers and repository managers.</w:t>
      </w:r>
    </w:p>
    <w:p>
      <w:pPr>
        <w:numPr>
          <w:ilvl w:val="0"/>
          <w:numId w:val="1007"/>
        </w:numPr>
        <w:pStyle w:val="Compact"/>
      </w:pPr>
      <w:hyperlink r:id="rId56">
        <w:r>
          <w:rPr>
            <w:rStyle w:val="Hyperlink"/>
          </w:rPr>
          <w:t xml:space="preserve">DOI Basics</w:t>
        </w:r>
      </w:hyperlink>
      <w:r>
        <w:t xml:space="preserve"> </w:t>
      </w:r>
      <w:r>
        <w:t xml:space="preserve">from DataCite: a fairly accessible breakdown of the naming conventions and structure behind DOIs.</w:t>
      </w:r>
    </w:p>
    <w:p>
      <w:pPr>
        <w:numPr>
          <w:ilvl w:val="0"/>
          <w:numId w:val="1007"/>
        </w:numPr>
        <w:pStyle w:val="Compact"/>
      </w:pPr>
      <w:hyperlink r:id="rId57">
        <w:r>
          <w:rPr>
            <w:rStyle w:val="Hyperlink"/>
          </w:rPr>
          <w:t xml:space="preserve">“</w:t>
        </w:r>
        <w:r>
          <w:rPr>
            <w:rStyle w:val="Hyperlink"/>
          </w:rPr>
          <w:t xml:space="preserve">DOIs (Digital Object Identifiers)</w:t>
        </w:r>
        <w:r>
          <w:rPr>
            <w:rStyle w:val="Hyperlink"/>
          </w:rPr>
          <w:t xml:space="preserve">”</w:t>
        </w:r>
      </w:hyperlink>
      <w:r>
        <w:t xml:space="preserve"> </w:t>
      </w:r>
      <w:r>
        <w:t xml:space="preserve">by The Nature of Writing on YouTube: a video explanation of DOIs (8 minutes)</w:t>
      </w:r>
    </w:p>
    <w:bookmarkEnd w:id="58"/>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A990"/>
    <w:multiLevelType w:val="multilevel"/>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991">
    <w:nsid w:val="A991"/>
    <w:multiLevelType w:val="multilevel"/>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num w:numId="1000">
    <w:abstractNumId w:val="990"/>
  </w:num>
  <w:num w:numId="1001">
    <w:abstractNumId w:val="991"/>
  </w:num>
  <w:num w:numId="1002">
    <w:abstractNumId w:val="991"/>
  </w:num>
  <w:num w:numId="1003">
    <w:abstractNumId w:val="991"/>
  </w:num>
  <w:num w:numId="1004">
    <w:abstractNumId w:val="991"/>
  </w:num>
  <w:num w:numId="1005">
    <w:abstractNumId w:val="991"/>
  </w:num>
  <w:num w:numId="1006">
    <w:abstractNumId w:val="991"/>
  </w:num>
  <w:num w:numId="1007">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stylePaneFormatFilter w:val="0004"/>
  <w:footnotePr>
    <w:footnote w:id="-1"/>
    <w:footnote w:id="0"/>
  </w:footnotePr>
  <w:rsids>
  </w:rsids>
  <w:clrSchemeMapping w:accent1="accent1" w:accent2="accent2" w:accent3="accent3" w:accent4="accent4" w:accent5="accent5" w:accent6="accent6" w:bg1="light1" w:bg2="light2" w:followedHyperlink="followedHyperlink" w:hyperlink="hyperlink" w:t1="dark1" w:t2="dark2"/>
  <w:zoom w:percent="100"/>
  <w:embedSystemFonts/>
  <w:proofState w:grammar="clean" w:spelling="clean"/>
  <w:doNotTrackMoves/>
  <w:defaultTabStop w:val="720"/>
  <w:drawingGridHorizontalSpacing w:val="360"/>
  <w:drawingGridVerticalSpacing w:val="360"/>
  <w:displayHorizontalDrawingGridEvery w:val="0"/>
  <w:displayVerticalDrawingGridEvery w:val="0"/>
  <w:characterSpacingControl w:val="doNotCompress"/>
  <w:savePreviewPicture/>
  <m:mathPr>
    <m:mathFont m:val="Cambria Math"/>
    <m:brkBin m:val="before"/>
    <m:brkBinSub m:val="--"/>
    <m:smallFrac m:val="0"/>
    <m:dispDef/>
    <m:lMargin m:val="0"/>
    <m:rMargin m:val="0"/>
    <m:wrapRight/>
    <m:intLim m:val="subSup"/>
    <m:naryLim m:val="undOvr"/>
  </m:mathPr>
  <w:themeFontLang w:val="en-U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HAnsi" w:hAnsiTheme="minorHAnsi"/>
        <w:sz w:val="24"/>
        <w:szCs w:val="24"/>
        <w:lang w:bidi="ar-SA" w:eastAsia="en-US"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pPr>
      <w:spacing w:after="180" w:before="180"/>
    </w:pPr>
    <w:qFormat/>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qFormat/>
    <w:pPr>
      <w:keepNext/>
      <w:keepLines/>
      <w:spacing w:after="240" w:before="480"/>
      <w:jc w:val="center"/>
    </w:pPr>
    <w:rPr>
      <w:rFonts w:asciiTheme="majorHAnsi" w:cstheme="majorBidi" w:eastAsiaTheme="majorEastAsia" w:hAnsiTheme="majorHAnsi"/>
      <w:b/>
      <w:bCs/>
      <w:color w:themeColor="accent1" w:themeShade="B5" w:val="345A8A"/>
      <w:sz w:val="36"/>
      <w:szCs w:val="36"/>
    </w:rPr>
  </w:style>
  <w:style w:styleId="Subtitle" w:type="paragraph">
    <w:name w:val="Subtitle"/>
    <w:basedOn w:val="Title"/>
    <w:next w:val="BodyText"/>
    <w:qFormat/>
    <w:pPr>
      <w:keepNext/>
      <w:keepLines/>
      <w:spacing w:after="240" w:before="240"/>
      <w:jc w:val="center"/>
    </w:pPr>
    <w:rPr>
      <w:sz w:val="30"/>
      <w:szCs w:val="30"/>
    </w:rPr>
  </w:style>
  <w:style w:customStyle="1" w:styleId="Author" w:type="paragraph">
    <w:name w:val="Author"/>
    <w:next w:val="BodyText"/>
    <w:qFormat/>
    <w:pPr>
      <w:keepNext/>
      <w:keepLines/>
      <w:jc w:val="center"/>
    </w:pPr>
  </w:style>
  <w:style w:styleId="Date" w:type="paragraph">
    <w:name w:val="Date"/>
    <w:next w:val="BodyText"/>
    <w:qFormat/>
    <w:pPr>
      <w:keepNext/>
      <w:keepLines/>
      <w:jc w:val="center"/>
    </w:pPr>
  </w:style>
  <w:style w:customStyle="1" w:styleId="Abstract" w:type="paragraph">
    <w:name w:val="Abstract"/>
    <w:basedOn w:val="Normal"/>
    <w:next w:val="BodyText"/>
    <w:qFormat/>
    <w:pPr>
      <w:keepNext/>
      <w:keepLines/>
      <w:spacing w:after="300" w:before="3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uiPriority w:val="9"/>
    <w:qFormat/>
    <w:pPr>
      <w:keepNext/>
      <w:keepLines/>
      <w:spacing w:after="0" w:before="480"/>
      <w:outlineLvl w:val="0"/>
    </w:pPr>
    <w:rPr>
      <w:rFonts w:asciiTheme="majorHAnsi" w:cstheme="majorBidi" w:eastAsiaTheme="majorEastAsia" w:hAnsiTheme="majorHAnsi"/>
      <w:b/>
      <w:bCs/>
      <w:color w:themeColor="accent1" w:val="4F81BD"/>
      <w:sz w:val="32"/>
      <w:szCs w:val="32"/>
    </w:rPr>
  </w:style>
  <w:style w:styleId="Heading2" w:type="paragraph">
    <w:name w:val="Heading 2"/>
    <w:basedOn w:val="Normal"/>
    <w:next w:val="BodyText"/>
    <w:uiPriority w:val="9"/>
    <w:unhideWhenUsed/>
    <w:qFormat/>
    <w:pPr>
      <w:keepNext/>
      <w:keepLines/>
      <w:spacing w:after="0" w:before="200"/>
      <w:outlineLvl w:val="1"/>
    </w:pPr>
    <w:rPr>
      <w:rFonts w:asciiTheme="majorHAnsi" w:cstheme="majorBidi" w:eastAsiaTheme="majorEastAsia" w:hAnsiTheme="majorHAnsi"/>
      <w:b/>
      <w:bCs/>
      <w:color w:themeColor="accent1" w:val="4F81BD"/>
      <w:sz w:val="28"/>
      <w:szCs w:val="28"/>
    </w:rPr>
  </w:style>
  <w:style w:styleId="Heading3" w:type="paragraph">
    <w:name w:val="Heading 3"/>
    <w:basedOn w:val="Normal"/>
    <w:next w:val="BodyText"/>
    <w:uiPriority w:val="9"/>
    <w:unhideWhenUsed/>
    <w:qFormat/>
    <w:pPr>
      <w:keepNext/>
      <w:keepLines/>
      <w:spacing w:after="0" w:before="200"/>
      <w:outlineLvl w:val="2"/>
    </w:pPr>
    <w:rPr>
      <w:rFonts w:asciiTheme="majorHAnsi" w:cstheme="majorBidi" w:eastAsiaTheme="majorEastAsia" w:hAnsiTheme="majorHAnsi"/>
      <w:b/>
      <w:bCs/>
      <w:color w:themeColor="accent1" w:val="4F81BD"/>
      <w:sz w:val="24"/>
      <w:szCs w:val="24"/>
    </w:rPr>
  </w:style>
  <w:style w:styleId="Heading4" w:type="paragraph">
    <w:name w:val="Heading 4"/>
    <w:basedOn w:val="Normal"/>
    <w:next w:val="BodyText"/>
    <w:uiPriority w:val="9"/>
    <w:unhideWhenUsed/>
    <w:qFormat/>
    <w:pPr>
      <w:keepNext/>
      <w:keepLines/>
      <w:spacing w:after="0" w:before="200"/>
      <w:outlineLvl w:val="3"/>
    </w:pPr>
    <w:rPr>
      <w:rFonts w:asciiTheme="majorHAnsi" w:cstheme="majorBidi" w:eastAsiaTheme="majorEastAsia" w:hAnsiTheme="majorHAnsi"/>
      <w:i/>
      <w:bCs/>
      <w:color w:themeColor="accent1" w:val="4F81BD"/>
      <w:sz w:val="24"/>
      <w:szCs w:val="24"/>
    </w:rPr>
  </w:style>
  <w:style w:styleId="Heading5" w:type="paragraph">
    <w:name w:val="Heading 5"/>
    <w:basedOn w:val="Normal"/>
    <w:next w:val="BodyText"/>
    <w:uiPriority w:val="9"/>
    <w:unhideWhenUsed/>
    <w:qFormat/>
    <w:pPr>
      <w:keepNext/>
      <w:keepLines/>
      <w:spacing w:after="0" w:before="200"/>
      <w:outlineLvl w:val="4"/>
    </w:pPr>
    <w:rPr>
      <w:rFonts w:asciiTheme="majorHAnsi" w:cstheme="majorBidi" w:eastAsiaTheme="majorEastAsia" w:hAnsiTheme="majorHAnsi"/>
      <w:iCs/>
      <w:color w:themeColor="accent1" w:val="4F81BD"/>
      <w:sz w:val="24"/>
      <w:szCs w:val="24"/>
    </w:rPr>
  </w:style>
  <w:style w:styleId="Heading6" w:type="paragraph">
    <w:name w:val="Heading 6"/>
    <w:basedOn w:val="Normal"/>
    <w:next w:val="BodyText"/>
    <w:uiPriority w:val="9"/>
    <w:unhideWhenUsed/>
    <w:qFormat/>
    <w:pPr>
      <w:keepNext/>
      <w:keepLines/>
      <w:spacing w:after="0" w:before="200"/>
      <w:outlineLvl w:val="5"/>
    </w:pPr>
    <w:rPr>
      <w:rFonts w:asciiTheme="majorHAnsi" w:cstheme="majorBidi" w:eastAsiaTheme="majorEastAsia" w:hAnsiTheme="majorHAnsi"/>
      <w:color w:themeColor="accent1" w:val="4F81BD"/>
      <w:sz w:val="24"/>
      <w:szCs w:val="24"/>
    </w:rPr>
  </w:style>
  <w:style w:styleId="Heading7" w:type="paragraph">
    <w:name w:val="Heading 7"/>
    <w:basedOn w:val="Normal"/>
    <w:next w:val="BodyText"/>
    <w:uiPriority w:val="9"/>
    <w:unhideWhenUsed/>
    <w:qFormat/>
    <w:pPr>
      <w:keepNext/>
      <w:keepLines/>
      <w:spacing w:after="0" w:before="200"/>
      <w:outlineLvl w:val="6"/>
    </w:pPr>
    <w:rPr>
      <w:rFonts w:asciiTheme="majorHAnsi" w:cstheme="majorBidi" w:eastAsiaTheme="majorEastAsia" w:hAnsiTheme="majorHAnsi"/>
      <w:color w:themeColor="accent1" w:val="4F81BD"/>
      <w:sz w:val="24"/>
      <w:szCs w:val="24"/>
    </w:rPr>
  </w:style>
  <w:style w:styleId="Heading8" w:type="paragraph">
    <w:name w:val="Heading 8"/>
    <w:basedOn w:val="Normal"/>
    <w:next w:val="BodyText"/>
    <w:uiPriority w:val="9"/>
    <w:unhideWhenUsed/>
    <w:qFormat/>
    <w:pPr>
      <w:keepNext/>
      <w:keepLines/>
      <w:spacing w:after="0" w:before="200"/>
      <w:outlineLvl w:val="7"/>
    </w:pPr>
    <w:rPr>
      <w:rFonts w:asciiTheme="majorHAnsi" w:cstheme="majorBidi" w:eastAsiaTheme="majorEastAsia" w:hAnsiTheme="majorHAnsi"/>
      <w:color w:themeColor="accent1" w:val="4F81BD"/>
      <w:sz w:val="24"/>
      <w:szCs w:val="24"/>
    </w:rPr>
  </w:style>
  <w:style w:styleId="Heading9" w:type="paragraph">
    <w:name w:val="Heading 9"/>
    <w:basedOn w:val="Normal"/>
    <w:next w:val="BodyText"/>
    <w:uiPriority w:val="9"/>
    <w:unhideWhenUsed/>
    <w:qFormat/>
    <w:pPr>
      <w:keepNext/>
      <w:keepLines/>
      <w:spacing w:after="0" w:before="200"/>
      <w:outlineLvl w:val="8"/>
    </w:pPr>
    <w:rPr>
      <w:rFonts w:asciiTheme="majorHAnsi" w:cstheme="majorBidi" w:eastAsiaTheme="majorEastAsia" w:hAnsiTheme="majorHAnsi"/>
      <w:color w:themeColor="accent1" w:val="4F81BD"/>
      <w:sz w:val="24"/>
      <w:szCs w:val="24"/>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blPr>
        <w:jc w:val="left"/>
        <w:tblInd w:type="dxa" w:w="0"/>
      </w:tblPr>
      <w:trPr>
        <w:jc w:val="left"/>
      </w:trPr>
      <w:tcPr>
        <w:vAlign w:val="bottom"/>
        <w:tcBorders>
          <w:bottom w:val="single"/>
        </w:tcBorders>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shd w:val="clear" w:fill="f1f3f5"/>
    </w:pPr>
  </w:style>
  <w:style w:type="character" w:customStyle="1" w:styleId="KeywordTok">
    <w:name w:val="KeywordTok"/>
    <w:basedOn w:val="VerbatimChar"/>
    <w:rPr>
      <w:color w:val="003b4f"/>
      <w:shd w:val="clear" w:fill="f1f3f5"/>
    </w:rPr>
  </w:style>
  <w:style w:type="character" w:customStyle="1" w:styleId="DataTypeTok">
    <w:name w:val="DataTypeTok"/>
    <w:basedOn w:val="VerbatimChar"/>
    <w:rPr>
      <w:color w:val="ad0000"/>
      <w:shd w:val="clear" w:fill="f1f3f5"/>
    </w:rPr>
  </w:style>
  <w:style w:type="character" w:customStyle="1" w:styleId="DecValTok">
    <w:name w:val="DecValTok"/>
    <w:basedOn w:val="VerbatimChar"/>
    <w:rPr>
      <w:color w:val="ad0000"/>
      <w:shd w:val="clear" w:fill="f1f3f5"/>
    </w:rPr>
  </w:style>
  <w:style w:type="character" w:customStyle="1" w:styleId="BaseNTok">
    <w:name w:val="BaseNTok"/>
    <w:basedOn w:val="VerbatimChar"/>
    <w:rPr>
      <w:color w:val="ad0000"/>
      <w:shd w:val="clear" w:fill="f1f3f5"/>
    </w:rPr>
  </w:style>
  <w:style w:type="character" w:customStyle="1" w:styleId="FloatTok">
    <w:name w:val="FloatTok"/>
    <w:basedOn w:val="VerbatimChar"/>
    <w:rPr>
      <w:color w:val="ad0000"/>
      <w:shd w:val="clear" w:fill="f1f3f5"/>
    </w:rPr>
  </w:style>
  <w:style w:type="character" w:customStyle="1" w:styleId="ConstantTok">
    <w:name w:val="ConstantTok"/>
    <w:basedOn w:val="VerbatimChar"/>
    <w:rPr>
      <w:color w:val="8f5902"/>
      <w:shd w:val="clear" w:fill="f1f3f5"/>
    </w:rPr>
  </w:style>
  <w:style w:type="character" w:customStyle="1" w:styleId="CharTok">
    <w:name w:val="CharTok"/>
    <w:basedOn w:val="VerbatimChar"/>
    <w:rPr>
      <w:color w:val="20794d"/>
      <w:shd w:val="clear" w:fill="f1f3f5"/>
    </w:rPr>
  </w:style>
  <w:style w:type="character" w:customStyle="1" w:styleId="SpecialCharTok">
    <w:name w:val="SpecialCharTok"/>
    <w:basedOn w:val="VerbatimChar"/>
    <w:rPr>
      <w:color w:val="5e5e5e"/>
      <w:shd w:val="clear" w:fill="f1f3f5"/>
    </w:rPr>
  </w:style>
  <w:style w:type="character" w:customStyle="1" w:styleId="StringTok">
    <w:name w:val="StringTok"/>
    <w:basedOn w:val="VerbatimChar"/>
    <w:rPr>
      <w:color w:val="20794d"/>
      <w:shd w:val="clear" w:fill="f1f3f5"/>
    </w:rPr>
  </w:style>
  <w:style w:type="character" w:customStyle="1" w:styleId="VerbatimStringTok">
    <w:name w:val="VerbatimStringTok"/>
    <w:basedOn w:val="VerbatimChar"/>
    <w:rPr>
      <w:color w:val="20794d"/>
      <w:shd w:val="clear" w:fill="f1f3f5"/>
    </w:rPr>
  </w:style>
  <w:style w:type="character" w:customStyle="1" w:styleId="SpecialStringTok">
    <w:name w:val="SpecialStringTok"/>
    <w:basedOn w:val="VerbatimChar"/>
    <w:rPr>
      <w:color w:val="20794d"/>
      <w:shd w:val="clear" w:fill="f1f3f5"/>
    </w:rPr>
  </w:style>
  <w:style w:type="character" w:customStyle="1" w:styleId="ImportTok">
    <w:name w:val="ImportTok"/>
    <w:basedOn w:val="VerbatimChar"/>
    <w:rPr>
      <w:color w:val="00769e"/>
      <w:shd w:val="clear" w:fill="f1f3f5"/>
    </w:rPr>
  </w:style>
  <w:style w:type="character" w:customStyle="1" w:styleId="CommentTok">
    <w:name w:val="CommentTok"/>
    <w:basedOn w:val="VerbatimChar"/>
    <w:rPr>
      <w:color w:val="5e5e5e"/>
      <w:shd w:val="clear" w:fill="f1f3f5"/>
    </w:rPr>
  </w:style>
  <w:style w:type="character" w:customStyle="1" w:styleId="DocumentationTok">
    <w:name w:val="DocumentationTok"/>
    <w:basedOn w:val="VerbatimChar"/>
    <w:rPr>
      <w:color w:val="5e5e5e"/>
      <w:shd w:val="clear" w:fill="f1f3f5"/>
      <w:i/>
    </w:rPr>
  </w:style>
  <w:style w:type="character" w:customStyle="1" w:styleId="AnnotationTok">
    <w:name w:val="AnnotationTok"/>
    <w:basedOn w:val="VerbatimChar"/>
    <w:rPr>
      <w:color w:val="5e5e5e"/>
      <w:shd w:val="clear" w:fill="f1f3f5"/>
    </w:rPr>
  </w:style>
  <w:style w:type="character" w:customStyle="1" w:styleId="CommentVarTok">
    <w:name w:val="CommentVarTok"/>
    <w:basedOn w:val="VerbatimChar"/>
    <w:rPr>
      <w:color w:val="5e5e5e"/>
      <w:shd w:val="clear" w:fill="f1f3f5"/>
      <w:i/>
    </w:rPr>
  </w:style>
  <w:style w:type="character" w:customStyle="1" w:styleId="OtherTok">
    <w:name w:val="OtherTok"/>
    <w:basedOn w:val="VerbatimChar"/>
    <w:rPr>
      <w:color w:val="003b4f"/>
      <w:shd w:val="clear" w:fill="f1f3f5"/>
    </w:rPr>
  </w:style>
  <w:style w:type="character" w:customStyle="1" w:styleId="FunctionTok">
    <w:name w:val="FunctionTok"/>
    <w:basedOn w:val="VerbatimChar"/>
    <w:rPr>
      <w:color w:val="4758ab"/>
      <w:shd w:val="clear" w:fill="f1f3f5"/>
    </w:rPr>
  </w:style>
  <w:style w:type="character" w:customStyle="1" w:styleId="VariableTok">
    <w:name w:val="VariableTok"/>
    <w:basedOn w:val="VerbatimChar"/>
    <w:rPr>
      <w:color w:val="111111"/>
      <w:shd w:val="clear" w:fill="f1f3f5"/>
    </w:rPr>
  </w:style>
  <w:style w:type="character" w:customStyle="1" w:styleId="ControlFlowTok">
    <w:name w:val="ControlFlowTok"/>
    <w:basedOn w:val="VerbatimChar"/>
    <w:rPr>
      <w:color w:val="003b4f"/>
      <w:shd w:val="clear" w:fill="f1f3f5"/>
    </w:rPr>
  </w:style>
  <w:style w:type="character" w:customStyle="1" w:styleId="OperatorTok">
    <w:name w:val="OperatorTok"/>
    <w:basedOn w:val="VerbatimChar"/>
    <w:rPr>
      <w:color w:val="5e5e5e"/>
      <w:shd w:val="clear" w:fill="f1f3f5"/>
    </w:rPr>
  </w:style>
  <w:style w:type="character" w:customStyle="1" w:styleId="BuiltInTok">
    <w:name w:val="BuiltInTok"/>
    <w:basedOn w:val="VerbatimChar"/>
    <w:rPr>
      <w:color w:val="003b4f"/>
      <w:shd w:val="clear" w:fill="f1f3f5"/>
    </w:rPr>
  </w:style>
  <w:style w:type="character" w:customStyle="1" w:styleId="ExtensionTok">
    <w:name w:val="ExtensionTok"/>
    <w:basedOn w:val="VerbatimChar"/>
    <w:rPr>
      <w:color w:val="003b4f"/>
      <w:shd w:val="clear" w:fill="f1f3f5"/>
    </w:rPr>
  </w:style>
  <w:style w:type="character" w:customStyle="1" w:styleId="PreprocessorTok">
    <w:name w:val="PreprocessorTok"/>
    <w:basedOn w:val="VerbatimChar"/>
    <w:rPr>
      <w:color w:val="ad0000"/>
      <w:shd w:val="clear" w:fill="f1f3f5"/>
    </w:rPr>
  </w:style>
  <w:style w:type="character" w:customStyle="1" w:styleId="AttributeTok">
    <w:name w:val="AttributeTok"/>
    <w:basedOn w:val="VerbatimChar"/>
    <w:rPr>
      <w:color w:val="657422"/>
      <w:shd w:val="clear" w:fill="f1f3f5"/>
    </w:rPr>
  </w:style>
  <w:style w:type="character" w:customStyle="1" w:styleId="RegionMarkerTok">
    <w:name w:val="RegionMarkerTok"/>
    <w:basedOn w:val="VerbatimChar"/>
    <w:rPr>
      <w:color w:val="003b4f"/>
      <w:shd w:val="clear" w:fill="f1f3f5"/>
    </w:rPr>
  </w:style>
  <w:style w:type="character" w:customStyle="1" w:styleId="InformationTok">
    <w:name w:val="InformationTok"/>
    <w:basedOn w:val="VerbatimChar"/>
    <w:rPr>
      <w:color w:val="5e5e5e"/>
      <w:shd w:val="clear" w:fill="f1f3f5"/>
    </w:rPr>
  </w:style>
  <w:style w:type="character" w:customStyle="1" w:styleId="WarningTok">
    <w:name w:val="WarningTok"/>
    <w:basedOn w:val="VerbatimChar"/>
    <w:rPr>
      <w:color w:val="5e5e5e"/>
      <w:shd w:val="clear" w:fill="f1f3f5"/>
      <w:i/>
    </w:rPr>
  </w:style>
  <w:style w:type="character" w:customStyle="1" w:styleId="AlertTok">
    <w:name w:val="AlertTok"/>
    <w:basedOn w:val="VerbatimChar"/>
    <w:rPr>
      <w:color w:val="ad0000"/>
      <w:shd w:val="clear" w:fill="f1f3f5"/>
    </w:rPr>
  </w:style>
  <w:style w:type="character" w:customStyle="1" w:styleId="ErrorTok">
    <w:name w:val="ErrorTok"/>
    <w:basedOn w:val="VerbatimChar"/>
    <w:rPr>
      <w:color w:val="ad0000"/>
      <w:shd w:val="clear" w:fill="f1f3f5"/>
    </w:rPr>
  </w:style>
  <w:style w:type="character" w:customStyle="1" w:styleId="NormalTok">
    <w:name w:val="NormalTok"/>
    <w:basedOn w:val="VerbatimChar"/>
    <w:rPr>
      <w:color w:val="003b4f"/>
      <w:shd w:val="clear" w:fill="f1f3f5"/>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1" Target="numbering.xml" /><Relationship Type="http://schemas.openxmlformats.org/officeDocument/2006/relationships/styles" Id="rId2" Target="styles.xml" /><Relationship Type="http://schemas.openxmlformats.org/officeDocument/2006/relationships/settings" Id="rId3" Target="settings.xml" /><Relationship Type="http://schemas.openxmlformats.org/officeDocument/2006/relationships/webSettings" Id="rId4" Target="webSettings.xml" /><Relationship Type="http://schemas.openxmlformats.org/officeDocument/2006/relationships/fontTable" Id="rId5" Target="fontTable.xml" /><Relationship Type="http://schemas.openxmlformats.org/officeDocument/2006/relationships/theme" Id="rId6" Target="theme/theme1.xml" /><Relationship Type="http://schemas.openxmlformats.org/officeDocument/2006/relationships/footnotes" Id="rId7" Target="footnotes.xml" /><Relationship Type="http://schemas.openxmlformats.org/officeDocument/2006/relationships/comments" Id="rId8" Target="comments.xml" /><Relationship Type="http://schemas.openxmlformats.org/officeDocument/2006/relationships/image" Id="rId41" Target="media/rId41.png" /><Relationship Type="http://schemas.openxmlformats.org/officeDocument/2006/relationships/image" Id="rId36" Target="media/rId36.png" /><Relationship Type="http://schemas.openxmlformats.org/officeDocument/2006/relationships/hyperlink" Id="rId50" Target="http://d-scholarship.pitt.edu/" TargetMode="External" /><Relationship Type="http://schemas.openxmlformats.org/officeDocument/2006/relationships/hyperlink" Id="rId26" Target="https://apps.crossref.org/SimpleTextQuery" TargetMode="External" /><Relationship Type="http://schemas.openxmlformats.org/officeDocument/2006/relationships/hyperlink" Id="rId35" Target="https://doi.org/10.1111/een.12932" TargetMode="External" /><Relationship Type="http://schemas.openxmlformats.org/officeDocument/2006/relationships/hyperlink" Id="rId40" Target="https://doi.org/10.18117/8e7r-xw15" TargetMode="External" /><Relationship Type="http://schemas.openxmlformats.org/officeDocument/2006/relationships/hyperlink" Id="rId47" Target="https://endnote.com/" TargetMode="External" /><Relationship Type="http://schemas.openxmlformats.org/officeDocument/2006/relationships/hyperlink" Id="rId51" Target="https://figshare.com/" TargetMode="External" /><Relationship Type="http://schemas.openxmlformats.org/officeDocument/2006/relationships/hyperlink" Id="rId25" Target="https://hsls.libguides.com/citation-manager/start" TargetMode="External" /><Relationship Type="http://schemas.openxmlformats.org/officeDocument/2006/relationships/hyperlink" Id="rId24" Target="https://hsls.libguides.com/citation-manager/start-zotero" TargetMode="External" /><Relationship Type="http://schemas.openxmlformats.org/officeDocument/2006/relationships/hyperlink" Id="rId27" Target="https://hsls.libguides.com/where-should-i-publish/datasets#s-lg-box-25411589" TargetMode="External" /><Relationship Type="http://schemas.openxmlformats.org/officeDocument/2006/relationships/hyperlink" Id="rId31" Target="https://pitt.libguides.com/dominicbordelon" TargetMode="External" /><Relationship Type="http://schemas.openxmlformats.org/officeDocument/2006/relationships/hyperlink" Id="rId23" Target="https://search.crossref.org/" TargetMode="External" /><Relationship Type="http://schemas.openxmlformats.org/officeDocument/2006/relationships/hyperlink" Id="rId56" Target="https://support.datacite.org/docs/doi-basics" TargetMode="External" /><Relationship Type="http://schemas.openxmlformats.org/officeDocument/2006/relationships/hyperlink" Id="rId55" Target="https://www.doi.org/hb.html" TargetMode="External" /><Relationship Type="http://schemas.openxmlformats.org/officeDocument/2006/relationships/hyperlink" Id="rId32" Target="https://www.hsls.pitt.edu/staff/helenmary-sheridan" TargetMode="External" /><Relationship Type="http://schemas.openxmlformats.org/officeDocument/2006/relationships/hyperlink" Id="rId49" Target="https://www.protocols.io/" TargetMode="External" /><Relationship Type="http://schemas.openxmlformats.org/officeDocument/2006/relationships/hyperlink" Id="rId57" Target="https://www.youtube.com/watch?v=Ng_2q4T6m4A" TargetMode="External" /><Relationship Type="http://schemas.openxmlformats.org/officeDocument/2006/relationships/hyperlink" Id="rId46" Target="https://www.zotero.org/" TargetMode="External" /><Relationship Type="http://schemas.openxmlformats.org/officeDocument/2006/relationships/hyperlink" Id="rId52" Target="https://zenodo.org/" TargetMode="External" /><Relationship Type="http://schemas.openxmlformats.org/officeDocument/2006/relationships/hyperlink" Id="rId29" Target="https://zenodo.org/search?page=1&amp;size=20" TargetMode="External" /></Relationships>
</file>

<file path=word/_rels/footnotes.xml.rels><?xml version="1.0" encoding="UTF-8"?><Relationships xmlns="http://schemas.openxmlformats.org/package/2006/relationships"><Relationship Type="http://schemas.openxmlformats.org/officeDocument/2006/relationships/hyperlink" Id="rId50" Target="http://d-scholarship.pitt.edu/" TargetMode="External" /><Relationship Type="http://schemas.openxmlformats.org/officeDocument/2006/relationships/hyperlink" Id="rId26" Target="https://apps.crossref.org/SimpleTextQuery" TargetMode="External" /><Relationship Type="http://schemas.openxmlformats.org/officeDocument/2006/relationships/hyperlink" Id="rId35" Target="https://doi.org/10.1111/een.12932" TargetMode="External" /><Relationship Type="http://schemas.openxmlformats.org/officeDocument/2006/relationships/hyperlink" Id="rId40" Target="https://doi.org/10.18117/8e7r-xw15" TargetMode="External" /><Relationship Type="http://schemas.openxmlformats.org/officeDocument/2006/relationships/hyperlink" Id="rId47" Target="https://endnote.com/" TargetMode="External" /><Relationship Type="http://schemas.openxmlformats.org/officeDocument/2006/relationships/hyperlink" Id="rId51" Target="https://figshare.com/" TargetMode="External" /><Relationship Type="http://schemas.openxmlformats.org/officeDocument/2006/relationships/hyperlink" Id="rId25" Target="https://hsls.libguides.com/citation-manager/start" TargetMode="External" /><Relationship Type="http://schemas.openxmlformats.org/officeDocument/2006/relationships/hyperlink" Id="rId24" Target="https://hsls.libguides.com/citation-manager/start-zotero" TargetMode="External" /><Relationship Type="http://schemas.openxmlformats.org/officeDocument/2006/relationships/hyperlink" Id="rId27" Target="https://hsls.libguides.com/where-should-i-publish/datasets#s-lg-box-25411589" TargetMode="External" /><Relationship Type="http://schemas.openxmlformats.org/officeDocument/2006/relationships/hyperlink" Id="rId31" Target="https://pitt.libguides.com/dominicbordelon" TargetMode="External" /><Relationship Type="http://schemas.openxmlformats.org/officeDocument/2006/relationships/hyperlink" Id="rId23" Target="https://search.crossref.org/" TargetMode="External" /><Relationship Type="http://schemas.openxmlformats.org/officeDocument/2006/relationships/hyperlink" Id="rId56" Target="https://support.datacite.org/docs/doi-basics" TargetMode="External" /><Relationship Type="http://schemas.openxmlformats.org/officeDocument/2006/relationships/hyperlink" Id="rId55" Target="https://www.doi.org/hb.html" TargetMode="External" /><Relationship Type="http://schemas.openxmlformats.org/officeDocument/2006/relationships/hyperlink" Id="rId32" Target="https://www.hsls.pitt.edu/staff/helenmary-sheridan" TargetMode="External" /><Relationship Type="http://schemas.openxmlformats.org/officeDocument/2006/relationships/hyperlink" Id="rId49" Target="https://www.protocols.io/" TargetMode="External" /><Relationship Type="http://schemas.openxmlformats.org/officeDocument/2006/relationships/hyperlink" Id="rId57" Target="https://www.youtube.com/watch?v=Ng_2q4T6m4A" TargetMode="External" /><Relationship Type="http://schemas.openxmlformats.org/officeDocument/2006/relationships/hyperlink" Id="rId46" Target="https://www.zotero.org/" TargetMode="External" /><Relationship Type="http://schemas.openxmlformats.org/officeDocument/2006/relationships/hyperlink" Id="rId52" Target="https://zenodo.org/" TargetMode="External" /><Relationship Type="http://schemas.openxmlformats.org/officeDocument/2006/relationships/hyperlink" Id="rId29" Target="https://zenodo.org/search?page=1&amp;size=20"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Day 7: DOIs</dc:title>
  <dc:creator>Health Sciences Library System; University Library System; University of Pittsburgh</dc:creator>
  <cp:keywords/>
  <dcterms:created xsi:type="dcterms:W3CDTF">2022-05-24T22:18:45Z</dcterms:created>
  <dcterms:modified xsi:type="dcterms:W3CDTF">2022-05-24T22:18:45Z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s">
    <vt:lpwstr/>
  </property>
  <property fmtid="{D5CDD505-2E9C-101B-9397-08002B2CF9AE}" pid="3" name="editor">
    <vt:lpwstr>visual</vt:lpwstr>
  </property>
  <property fmtid="{D5CDD505-2E9C-101B-9397-08002B2CF9AE}" pid="4" name="header-includes">
    <vt:lpwstr/>
  </property>
  <property fmtid="{D5CDD505-2E9C-101B-9397-08002B2CF9AE}" pid="5" name="include-after">
    <vt:lpwstr/>
  </property>
  <property fmtid="{D5CDD505-2E9C-101B-9397-08002B2CF9AE}" pid="6" name="include-before">
    <vt:lpwstr/>
  </property>
  <property fmtid="{D5CDD505-2E9C-101B-9397-08002B2CF9AE}" pid="7" name="subtitle">
    <vt:lpwstr>2022 Open Scholarship and Research Impact Challenge</vt:lpwstr>
  </property>
  <property fmtid="{D5CDD505-2E9C-101B-9397-08002B2CF9AE}" pid="8" name="toc-title">
    <vt:lpwstr>Table of contents</vt:lpwstr>
  </property>
</Properties>
</file>